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F8076" w14:textId="77777777" w:rsidR="00355F6E" w:rsidRPr="0006719E" w:rsidRDefault="00355F6E" w:rsidP="0006719E">
      <w:pPr>
        <w:pStyle w:val="a4"/>
        <w:spacing w:after="120"/>
        <w:ind w:left="272" w:right="272"/>
      </w:pPr>
      <w:r w:rsidRPr="0006719E">
        <w:t>Disruption Mitigation in EAST with Metal Walls: A Comparative Study of SPI and MGI</w:t>
      </w:r>
    </w:p>
    <w:p w14:paraId="30F69546" w14:textId="2EE39504" w:rsidR="00355F6E" w:rsidRPr="0000491F" w:rsidRDefault="00355F6E" w:rsidP="0000491F">
      <w:pPr>
        <w:pStyle w:val="a3"/>
        <w:spacing w:before="231" w:after="120"/>
        <w:ind w:left="264" w:right="271" w:firstLine="0"/>
        <w:jc w:val="center"/>
        <w:rPr>
          <w:rFonts w:eastAsia="宋体" w:hint="eastAsia"/>
          <w:lang w:val="en-GB" w:eastAsia="zh-CN"/>
        </w:rPr>
      </w:pPr>
      <w:r w:rsidRPr="0000491F">
        <w:rPr>
          <w:u w:val="single"/>
          <w:lang w:val="en-GB"/>
        </w:rPr>
        <w:t>J.S. Hu</w:t>
      </w:r>
      <w:r w:rsidR="0006719E" w:rsidRPr="0006719E">
        <w:rPr>
          <w:rFonts w:eastAsia="宋体" w:hint="eastAsia"/>
          <w:vertAlign w:val="superscript"/>
          <w:lang w:val="en-GB" w:eastAsia="zh-CN"/>
        </w:rPr>
        <w:t>1,2</w:t>
      </w:r>
      <w:r w:rsidR="0000491F">
        <w:rPr>
          <w:rFonts w:eastAsia="宋体" w:hint="eastAsia"/>
          <w:vertAlign w:val="superscript"/>
          <w:lang w:val="en-GB" w:eastAsia="zh-CN"/>
        </w:rPr>
        <w:t>*</w:t>
      </w:r>
      <w:r w:rsidRPr="0006719E">
        <w:rPr>
          <w:lang w:val="en-GB"/>
        </w:rPr>
        <w:t>, J.S. Yuan</w:t>
      </w:r>
      <w:r w:rsidR="0006719E" w:rsidRPr="0006719E">
        <w:rPr>
          <w:rFonts w:eastAsia="宋体" w:hint="eastAsia"/>
          <w:vertAlign w:val="superscript"/>
          <w:lang w:val="en-GB" w:eastAsia="zh-CN"/>
        </w:rPr>
        <w:t>1</w:t>
      </w:r>
      <w:r w:rsidRPr="0006719E">
        <w:rPr>
          <w:lang w:val="en-GB"/>
        </w:rPr>
        <w:t>, S.B. Zhao</w:t>
      </w:r>
      <w:r w:rsidR="0006719E" w:rsidRPr="0006719E">
        <w:rPr>
          <w:vertAlign w:val="superscript"/>
          <w:lang w:val="en-GB"/>
        </w:rPr>
        <w:t>1,</w:t>
      </w:r>
      <w:r w:rsidR="0000491F">
        <w:rPr>
          <w:rFonts w:eastAsia="宋体" w:hint="eastAsia"/>
          <w:vertAlign w:val="superscript"/>
          <w:lang w:val="en-GB" w:eastAsia="zh-CN"/>
        </w:rPr>
        <w:t>3</w:t>
      </w:r>
      <w:r w:rsidRPr="0006719E">
        <w:rPr>
          <w:lang w:val="en-GB"/>
        </w:rPr>
        <w:t>, L. Li</w:t>
      </w:r>
      <w:r w:rsidR="0000491F" w:rsidRPr="0006719E">
        <w:rPr>
          <w:vertAlign w:val="superscript"/>
          <w:lang w:val="en-GB"/>
        </w:rPr>
        <w:t>1,</w:t>
      </w:r>
      <w:r w:rsidR="0000491F">
        <w:rPr>
          <w:rFonts w:eastAsia="宋体" w:hint="eastAsia"/>
          <w:vertAlign w:val="superscript"/>
          <w:lang w:val="en-GB" w:eastAsia="zh-CN"/>
        </w:rPr>
        <w:t>3</w:t>
      </w:r>
      <w:r w:rsidRPr="0006719E">
        <w:rPr>
          <w:lang w:val="en-GB"/>
        </w:rPr>
        <w:t>, T. Tang</w:t>
      </w:r>
      <w:r w:rsidR="0000491F" w:rsidRPr="0000491F">
        <w:rPr>
          <w:rFonts w:eastAsia="宋体" w:hint="eastAsia"/>
          <w:vertAlign w:val="superscript"/>
          <w:lang w:val="en-GB" w:eastAsia="zh-CN"/>
        </w:rPr>
        <w:t>1</w:t>
      </w:r>
      <w:r w:rsidRPr="0006719E">
        <w:rPr>
          <w:lang w:val="en-GB"/>
        </w:rPr>
        <w:t>, Y.M. Duan</w:t>
      </w:r>
      <w:r w:rsidR="0000491F" w:rsidRPr="0000491F">
        <w:rPr>
          <w:rFonts w:eastAsia="宋体" w:hint="eastAsia"/>
          <w:vertAlign w:val="superscript"/>
          <w:lang w:val="en-GB" w:eastAsia="zh-CN"/>
        </w:rPr>
        <w:t>1</w:t>
      </w:r>
      <w:r w:rsidRPr="0006719E">
        <w:rPr>
          <w:lang w:val="en-GB"/>
        </w:rPr>
        <w:t>, H.D. Zhuang</w:t>
      </w:r>
      <w:r w:rsidR="0000491F" w:rsidRPr="0000491F">
        <w:rPr>
          <w:rFonts w:eastAsia="宋体" w:hint="eastAsia"/>
          <w:vertAlign w:val="superscript"/>
          <w:lang w:val="en-GB" w:eastAsia="zh-CN"/>
        </w:rPr>
        <w:t>1</w:t>
      </w:r>
      <w:r w:rsidRPr="0006719E">
        <w:rPr>
          <w:lang w:val="en-GB"/>
        </w:rPr>
        <w:t>, S.T. Mao</w:t>
      </w:r>
      <w:r w:rsidR="0000491F" w:rsidRPr="0000491F">
        <w:rPr>
          <w:rFonts w:eastAsia="宋体" w:hint="eastAsia"/>
          <w:vertAlign w:val="superscript"/>
          <w:lang w:val="en-GB" w:eastAsia="zh-CN"/>
        </w:rPr>
        <w:t>1</w:t>
      </w:r>
      <w:r w:rsidRPr="0006719E">
        <w:rPr>
          <w:lang w:val="en-GB"/>
        </w:rPr>
        <w:t>, D.L. Chen</w:t>
      </w:r>
      <w:r w:rsidR="0000491F" w:rsidRPr="0000491F">
        <w:rPr>
          <w:rFonts w:eastAsia="宋体" w:hint="eastAsia"/>
          <w:vertAlign w:val="superscript"/>
          <w:lang w:val="en-GB" w:eastAsia="zh-CN"/>
        </w:rPr>
        <w:t>1</w:t>
      </w:r>
      <w:r w:rsidRPr="0006719E">
        <w:rPr>
          <w:lang w:val="en-GB"/>
        </w:rPr>
        <w:t>, B. Zhang</w:t>
      </w:r>
      <w:r w:rsidR="0000491F" w:rsidRPr="0000491F">
        <w:rPr>
          <w:rFonts w:eastAsia="宋体" w:hint="eastAsia"/>
          <w:vertAlign w:val="superscript"/>
          <w:lang w:val="en-GB" w:eastAsia="zh-CN"/>
        </w:rPr>
        <w:t>1</w:t>
      </w:r>
      <w:r w:rsidRPr="0006719E">
        <w:rPr>
          <w:lang w:val="en-GB"/>
        </w:rPr>
        <w:t>, J.H. Yang</w:t>
      </w:r>
      <w:r w:rsidR="0000491F" w:rsidRPr="0000491F">
        <w:rPr>
          <w:rFonts w:eastAsia="宋体" w:hint="eastAsia"/>
          <w:vertAlign w:val="superscript"/>
          <w:lang w:val="en-GB" w:eastAsia="zh-CN"/>
        </w:rPr>
        <w:t>1</w:t>
      </w:r>
      <w:r w:rsidRPr="0006719E">
        <w:rPr>
          <w:lang w:val="en-GB"/>
        </w:rPr>
        <w:t>, G.Z. Zuo</w:t>
      </w:r>
      <w:r w:rsidR="0000491F" w:rsidRPr="0000491F">
        <w:rPr>
          <w:rFonts w:eastAsia="宋体" w:hint="eastAsia"/>
          <w:vertAlign w:val="superscript"/>
          <w:lang w:val="en-GB" w:eastAsia="zh-CN"/>
        </w:rPr>
        <w:t>1</w:t>
      </w:r>
      <w:r w:rsidRPr="0006719E">
        <w:rPr>
          <w:lang w:val="en-GB"/>
        </w:rPr>
        <w:t>, and EAST team</w:t>
      </w:r>
      <w:r w:rsidR="0000491F" w:rsidRPr="0000491F">
        <w:rPr>
          <w:rFonts w:eastAsia="宋体" w:hint="eastAsia"/>
          <w:vertAlign w:val="superscript"/>
          <w:lang w:val="en-GB" w:eastAsia="zh-CN"/>
        </w:rPr>
        <w:t>1</w:t>
      </w:r>
    </w:p>
    <w:p w14:paraId="7EC95952" w14:textId="36D99B95" w:rsidR="00355F6E" w:rsidRPr="0000491F" w:rsidRDefault="0000491F" w:rsidP="0000491F">
      <w:pPr>
        <w:spacing w:after="120"/>
        <w:ind w:left="272" w:right="266"/>
        <w:jc w:val="center"/>
        <w:rPr>
          <w:i/>
          <w:iCs/>
          <w:position w:val="9"/>
          <w:szCs w:val="24"/>
          <w:lang w:val="en-GB"/>
        </w:rPr>
      </w:pPr>
      <w:r w:rsidRPr="0000491F">
        <w:rPr>
          <w:rFonts w:eastAsia="宋体" w:hint="eastAsia"/>
          <w:i/>
          <w:iCs/>
          <w:position w:val="9"/>
          <w:szCs w:val="24"/>
          <w:vertAlign w:val="superscript"/>
          <w:lang w:val="en-GB" w:eastAsia="zh-CN"/>
        </w:rPr>
        <w:t>1</w:t>
      </w:r>
      <w:r w:rsidR="00355F6E" w:rsidRPr="0000491F">
        <w:rPr>
          <w:i/>
          <w:iCs/>
          <w:position w:val="9"/>
          <w:szCs w:val="24"/>
          <w:lang w:val="en-GB"/>
        </w:rPr>
        <w:t>Institute of Plasma Physics, HIPS, Chinese Academy of Sciences, 230031, Hefei, China</w:t>
      </w:r>
    </w:p>
    <w:p w14:paraId="0D749627" w14:textId="43AC1F7C" w:rsidR="00355F6E" w:rsidRPr="0000491F" w:rsidRDefault="0000491F" w:rsidP="0000491F">
      <w:pPr>
        <w:spacing w:after="120"/>
        <w:ind w:left="272" w:right="266"/>
        <w:jc w:val="center"/>
        <w:rPr>
          <w:rFonts w:eastAsia="宋体" w:hint="eastAsia"/>
          <w:i/>
          <w:iCs/>
          <w:position w:val="9"/>
          <w:szCs w:val="24"/>
          <w:lang w:val="en-GB" w:eastAsia="zh-CN"/>
        </w:rPr>
      </w:pPr>
      <w:r w:rsidRPr="0000491F">
        <w:rPr>
          <w:rFonts w:eastAsia="宋体" w:hint="eastAsia"/>
          <w:i/>
          <w:iCs/>
          <w:position w:val="9"/>
          <w:szCs w:val="24"/>
          <w:vertAlign w:val="superscript"/>
          <w:lang w:val="en-GB" w:eastAsia="zh-CN"/>
        </w:rPr>
        <w:t>2</w:t>
      </w:r>
      <w:r w:rsidR="00355F6E" w:rsidRPr="0000491F">
        <w:rPr>
          <w:i/>
          <w:iCs/>
          <w:position w:val="9"/>
          <w:szCs w:val="24"/>
          <w:lang w:val="en-GB"/>
        </w:rPr>
        <w:t>School of Fusion Science and Engineering, Hefei University of Technology, Hefei, 230009, China</w:t>
      </w:r>
    </w:p>
    <w:p w14:paraId="40D6F914" w14:textId="1A6F159D" w:rsidR="00355F6E" w:rsidRPr="0000491F" w:rsidRDefault="0000491F" w:rsidP="0000491F">
      <w:pPr>
        <w:spacing w:after="120"/>
        <w:ind w:left="272" w:right="266"/>
        <w:jc w:val="center"/>
        <w:rPr>
          <w:rFonts w:eastAsia="宋体" w:hint="eastAsia"/>
          <w:i/>
          <w:iCs/>
          <w:position w:val="9"/>
          <w:szCs w:val="24"/>
          <w:lang w:val="en-GB" w:eastAsia="zh-CN"/>
        </w:rPr>
      </w:pPr>
      <w:r w:rsidRPr="0000491F">
        <w:rPr>
          <w:rFonts w:eastAsia="宋体" w:hint="eastAsia"/>
          <w:i/>
          <w:iCs/>
          <w:position w:val="9"/>
          <w:szCs w:val="24"/>
          <w:vertAlign w:val="superscript"/>
          <w:lang w:val="en-GB" w:eastAsia="zh-CN"/>
        </w:rPr>
        <w:t>3</w:t>
      </w:r>
      <w:r w:rsidR="00355F6E" w:rsidRPr="0000491F">
        <w:rPr>
          <w:i/>
          <w:iCs/>
          <w:position w:val="9"/>
          <w:szCs w:val="24"/>
          <w:lang w:val="en-GB"/>
        </w:rPr>
        <w:t>University of Science and Technology of China, Hefei, 230026, China</w:t>
      </w:r>
    </w:p>
    <w:p w14:paraId="2C6B58BA" w14:textId="4C6883A9" w:rsidR="00355F6E" w:rsidRPr="00C3769A" w:rsidRDefault="00355F6E" w:rsidP="00441790">
      <w:pPr>
        <w:ind w:left="0" w:firstLine="0"/>
        <w:rPr>
          <w:rFonts w:eastAsia="宋体" w:hint="eastAsia"/>
          <w:lang w:val="en-GB" w:eastAsia="zh-CN"/>
        </w:rPr>
      </w:pPr>
      <w:r w:rsidRPr="00851EDE">
        <w:rPr>
          <w:lang w:val="en-GB"/>
        </w:rPr>
        <w:t>*Email:</w:t>
      </w:r>
      <w:r w:rsidRPr="00C3769A">
        <w:rPr>
          <w:u w:val="single"/>
          <w:lang w:val="en-GB"/>
        </w:rPr>
        <w:t xml:space="preserve"> hujs@ipp.ac.cn</w:t>
      </w:r>
    </w:p>
    <w:p w14:paraId="006CA579" w14:textId="479AD877" w:rsidR="00355F6E" w:rsidRPr="0000491F" w:rsidRDefault="00355F6E" w:rsidP="00441790">
      <w:pPr>
        <w:ind w:firstLine="0"/>
        <w:rPr>
          <w:rFonts w:hint="eastAsia"/>
          <w:lang w:val="en-GB"/>
        </w:rPr>
      </w:pPr>
      <w:r w:rsidRPr="00851EDE">
        <w:rPr>
          <w:b/>
          <w:bCs/>
          <w:lang w:val="en-GB"/>
        </w:rPr>
        <w:t>Abstract</w:t>
      </w:r>
      <w:r w:rsidR="0000491F" w:rsidRPr="00851EDE">
        <w:rPr>
          <w:rFonts w:hint="eastAsia"/>
          <w:b/>
          <w:bCs/>
          <w:lang w:val="en-GB"/>
        </w:rPr>
        <w:t>:</w:t>
      </w:r>
      <w:r w:rsidR="0000491F" w:rsidRPr="00851EDE">
        <w:rPr>
          <w:rFonts w:hint="eastAsia"/>
          <w:lang w:val="en-GB"/>
        </w:rPr>
        <w:t xml:space="preserve"> </w:t>
      </w:r>
      <w:r w:rsidRPr="0000491F">
        <w:rPr>
          <w:lang w:val="en-GB"/>
        </w:rPr>
        <w:t xml:space="preserve">Plasma disruption mitigation experiments have been systematically conducted in the EAST tokamak with full metal walls using Shattered Pellet Injection (SPI), Insufficiently Shattered Pellet Injection (ISPI), and Massive Gas Injection (MGI). This comparative study demonstrates the superiority of SPI over MGI in terms of plasma shutdown characteristics, radiation distribution, halo current mitigation, and runaway electron suppression. SPI achieves more uniform poloidal radiation distribution, higher core radiation efficiency, and eliminates cold Vertical Displacement Event (VDE) risks. ISPI, characterized by larger pellet fragments, exhibits intermediate </w:t>
      </w:r>
      <w:proofErr w:type="spellStart"/>
      <w:r w:rsidRPr="0000491F">
        <w:rPr>
          <w:lang w:val="en-GB"/>
        </w:rPr>
        <w:t>behavior</w:t>
      </w:r>
      <w:proofErr w:type="spellEnd"/>
      <w:r w:rsidRPr="0000491F">
        <w:rPr>
          <w:lang w:val="en-GB"/>
        </w:rPr>
        <w:t xml:space="preserve"> between SPI and MGI. These findings provide crucial insights for the design of disruption mitigation systems in future fusion reactors with full metal walls.</w:t>
      </w:r>
    </w:p>
    <w:p w14:paraId="30ED6C67" w14:textId="1A1DDAC9" w:rsidR="00355F6E" w:rsidRPr="00441790" w:rsidRDefault="00355F6E" w:rsidP="00831343">
      <w:pPr>
        <w:ind w:firstLine="0"/>
        <w:rPr>
          <w:rFonts w:eastAsia="宋体" w:hint="eastAsia"/>
          <w:lang w:val="en-GB" w:eastAsia="zh-CN"/>
        </w:rPr>
      </w:pPr>
      <w:r w:rsidRPr="00851EDE">
        <w:rPr>
          <w:b/>
          <w:bCs/>
          <w:lang w:val="en-GB"/>
        </w:rPr>
        <w:t>Keywords:</w:t>
      </w:r>
      <w:r w:rsidRPr="0000491F">
        <w:rPr>
          <w:lang w:val="en-GB"/>
        </w:rPr>
        <w:t xml:space="preserve"> Plasma disruption, Disruption mitigation, Shattered pellet injection, </w:t>
      </w:r>
      <w:proofErr w:type="gramStart"/>
      <w:r w:rsidRPr="0000491F">
        <w:rPr>
          <w:lang w:val="en-GB"/>
        </w:rPr>
        <w:t>Massive</w:t>
      </w:r>
      <w:proofErr w:type="gramEnd"/>
      <w:r w:rsidRPr="0000491F">
        <w:rPr>
          <w:lang w:val="en-GB"/>
        </w:rPr>
        <w:t xml:space="preserve"> gas injection, EAST tokamak, Metal walls</w:t>
      </w:r>
    </w:p>
    <w:p w14:paraId="2ED5957C" w14:textId="5E6BFFF5" w:rsidR="00C3769A" w:rsidRPr="003008F3" w:rsidRDefault="00355F6E" w:rsidP="003008F3">
      <w:pPr>
        <w:ind w:firstLine="0"/>
        <w:rPr>
          <w:b/>
          <w:bCs/>
          <w:lang w:val="en-GB"/>
        </w:rPr>
      </w:pPr>
      <w:r w:rsidRPr="00441790">
        <w:rPr>
          <w:b/>
          <w:bCs/>
          <w:lang w:val="en-GB"/>
        </w:rPr>
        <w:t>1. Introduction</w:t>
      </w:r>
      <w:bookmarkStart w:id="0" w:name="OLE_LINK58"/>
      <w:bookmarkStart w:id="1" w:name="OLE_LINK59"/>
    </w:p>
    <w:p w14:paraId="216FFFC0" w14:textId="60B328D0" w:rsidR="003008F3" w:rsidRDefault="003008F3" w:rsidP="00513BE3">
      <w:pPr>
        <w:rPr>
          <w:rFonts w:eastAsia="宋体"/>
          <w:lang w:val="en-GB" w:eastAsia="zh-CN"/>
        </w:rPr>
      </w:pPr>
      <w:r w:rsidRPr="003008F3">
        <w:rPr>
          <w:rFonts w:eastAsia="宋体"/>
          <w:lang w:val="en-GB" w:eastAsia="zh-CN"/>
        </w:rPr>
        <w:t>Plasma disruption is one of the most serious transient events in high-current tokamak operation. The rapid loss of thermal and magnetic energy can produce severe thermal loads on plasma-facing components, strong electromagnetic stresses, halo currents, vertical displacement events, and high-energy runaway electrons, posing major challenges for ITER and future fusion reactors. Effective disruption mitigation therefore requires active methods that can enhance plasma radiation, control the current quench, and reduce runaway-electron risks.</w:t>
      </w:r>
    </w:p>
    <w:bookmarkEnd w:id="0"/>
    <w:p w14:paraId="7108A21C" w14:textId="53A05B95" w:rsidR="003008F3" w:rsidRPr="00513BE3" w:rsidRDefault="003008F3" w:rsidP="00C3769A">
      <w:pPr>
        <w:rPr>
          <w:rFonts w:eastAsia="宋体" w:hint="eastAsia"/>
          <w:lang w:val="en-GB" w:eastAsia="zh-CN"/>
        </w:rPr>
      </w:pPr>
      <w:r w:rsidRPr="003008F3">
        <w:rPr>
          <w:rFonts w:eastAsia="宋体"/>
          <w:lang w:val="en-GB" w:eastAsia="zh-CN"/>
        </w:rPr>
        <w:t xml:space="preserve">Massive gas injection (MGI) has been widely used because of its simple structure, fast response, and reliable triggering, whereas shattered pellet injection (SPI) is considered a promising technique for future devices due to its deeper impurity penetration and large particle delivery capability. EAST, with its progressive transition toward metal-wall operation, provides a relevant platform for investigating disruption mitigation under reactor-oriented plasma-facing material conditions. Based on this platform, comparative experiments using MGI and SPI have </w:t>
      </w:r>
      <w:r w:rsidRPr="003008F3">
        <w:rPr>
          <w:rFonts w:eastAsia="宋体"/>
          <w:lang w:val="en-GB" w:eastAsia="zh-CN"/>
        </w:rPr>
        <w:lastRenderedPageBreak/>
        <w:t>been carried out to evaluate their effects on plasma shutdown, radiation evolution, halo-current mitigation, and MHD activity. In addition, insufficiently shattered pellet injection (ISPI), produced by replacing the bent shatter tube with a straight tube, enables investigation of how fragment size, ablation, penetration, and impurity assimilation affect the mitigation process.</w:t>
      </w:r>
    </w:p>
    <w:bookmarkEnd w:id="1"/>
    <w:p w14:paraId="36DADD81" w14:textId="716F3450" w:rsidR="00355F6E" w:rsidRPr="00B91EC1" w:rsidRDefault="00355F6E" w:rsidP="00831343">
      <w:pPr>
        <w:ind w:firstLine="0"/>
        <w:rPr>
          <w:rFonts w:eastAsia="宋体" w:hint="eastAsia"/>
          <w:b/>
          <w:bCs/>
          <w:lang w:val="en-GB" w:eastAsia="zh-CN"/>
        </w:rPr>
      </w:pPr>
      <w:r w:rsidRPr="00441790">
        <w:rPr>
          <w:b/>
          <w:bCs/>
          <w:lang w:val="en-GB"/>
        </w:rPr>
        <w:t>2. Experimental Setup</w:t>
      </w:r>
    </w:p>
    <w:p w14:paraId="43241FE5" w14:textId="306DC019" w:rsidR="0095432A" w:rsidRPr="00513BE3" w:rsidRDefault="00513BE3" w:rsidP="002138AC">
      <w:pPr>
        <w:rPr>
          <w:rFonts w:eastAsia="宋体" w:hint="eastAsia"/>
          <w:lang w:val="en-GB" w:eastAsia="zh-CN"/>
        </w:rPr>
      </w:pPr>
      <w:bookmarkStart w:id="2" w:name="OLE_LINK55"/>
      <w:r w:rsidRPr="00513BE3">
        <w:rPr>
          <w:rFonts w:eastAsia="宋体"/>
          <w:lang w:eastAsia="zh-CN"/>
        </w:rPr>
        <w:t>In EAST, two massive gas injection (MGI) systems and one shattered pellet injection (SPI) system are available for disruption mitigation studies. The MGI systems are installed at the middle J and O ports, while the SPI system is located at the middle K port. The SPI system forms solid pellets by in-situ condensation and accelerates them pneumatically toward the plasma. In the conventional configuration, the pellet passes through an approximately 20° bent shatter tube and enters the plasma at about R = 2.5 m and Z = 0.4 m. In 2023, a straight injection tube was installed at a slightly higher position, about R = 2.5 m and Z = 0.6 m, producing larger fragments with a lower degree of fragmentation; this configuration is defined as insufficiently shattered pellet injection (ISPI). The pellet diameter is 5 mm, the length is adjustable from 7 to 15 mm, the maximum particle inventory is about 14 Pa·m³, and the velocity range is approximately 100–400 m/s. The available pellet gases include H₂, Ne and H₂/Ne mixtures</w:t>
      </w:r>
      <w:r w:rsidR="00C3769A">
        <w:rPr>
          <w:rFonts w:eastAsia="宋体" w:hint="eastAsia"/>
          <w:lang w:eastAsia="zh-CN"/>
        </w:rPr>
        <w:t xml:space="preserve"> [1-3]</w:t>
      </w:r>
      <w:r w:rsidRPr="00513BE3">
        <w:rPr>
          <w:rFonts w:eastAsia="宋体"/>
          <w:lang w:eastAsia="zh-CN"/>
        </w:rPr>
        <w:t xml:space="preserve">. The MGI systems use eddy-current-driven fast valves to inject gases such as Ne, </w:t>
      </w:r>
      <w:proofErr w:type="spellStart"/>
      <w:r w:rsidRPr="00513BE3">
        <w:rPr>
          <w:rFonts w:eastAsia="宋体"/>
          <w:lang w:eastAsia="zh-CN"/>
        </w:rPr>
        <w:t>Ar</w:t>
      </w:r>
      <w:proofErr w:type="spellEnd"/>
      <w:r w:rsidRPr="00513BE3">
        <w:rPr>
          <w:rFonts w:eastAsia="宋体"/>
          <w:lang w:eastAsia="zh-CN"/>
        </w:rPr>
        <w:t xml:space="preserve"> and He, with a response time of about 0.15 </w:t>
      </w:r>
      <w:proofErr w:type="spellStart"/>
      <w:r w:rsidRPr="00513BE3">
        <w:rPr>
          <w:rFonts w:eastAsia="宋体"/>
          <w:lang w:eastAsia="zh-CN"/>
        </w:rPr>
        <w:t>ms</w:t>
      </w:r>
      <w:proofErr w:type="spellEnd"/>
      <w:r w:rsidRPr="00513BE3">
        <w:rPr>
          <w:rFonts w:eastAsia="宋体"/>
          <w:lang w:eastAsia="zh-CN"/>
        </w:rPr>
        <w:t xml:space="preserve"> and an injection throughput up to 30 Pa·m³/s for 1–4 </w:t>
      </w:r>
      <w:proofErr w:type="spellStart"/>
      <w:r w:rsidRPr="00513BE3">
        <w:rPr>
          <w:rFonts w:eastAsia="宋体"/>
          <w:lang w:eastAsia="zh-CN"/>
        </w:rPr>
        <w:t>ms</w:t>
      </w:r>
      <w:proofErr w:type="spellEnd"/>
      <w:r w:rsidRPr="00513BE3">
        <w:rPr>
          <w:rFonts w:eastAsia="宋体"/>
          <w:lang w:eastAsia="zh-CN"/>
        </w:rPr>
        <w:t xml:space="preserve"> pulses</w:t>
      </w:r>
      <w:r w:rsidR="00C3769A">
        <w:rPr>
          <w:rFonts w:eastAsia="宋体" w:hint="eastAsia"/>
          <w:lang w:eastAsia="zh-CN"/>
        </w:rPr>
        <w:t xml:space="preserve"> [4, 5]</w:t>
      </w:r>
      <w:r w:rsidRPr="00513BE3">
        <w:rPr>
          <w:rFonts w:eastAsia="宋体"/>
          <w:lang w:eastAsia="zh-CN"/>
        </w:rPr>
        <w:t>.</w:t>
      </w:r>
    </w:p>
    <w:bookmarkEnd w:id="2"/>
    <w:p w14:paraId="40230A5C" w14:textId="77777777" w:rsidR="00355F6E" w:rsidRPr="0095432A" w:rsidRDefault="00355F6E" w:rsidP="00831343">
      <w:pPr>
        <w:tabs>
          <w:tab w:val="left" w:pos="567"/>
        </w:tabs>
        <w:ind w:firstLine="0"/>
        <w:rPr>
          <w:b/>
          <w:bCs/>
          <w:szCs w:val="24"/>
          <w:lang w:val="en-GB"/>
        </w:rPr>
      </w:pPr>
      <w:r w:rsidRPr="0095432A">
        <w:rPr>
          <w:b/>
          <w:bCs/>
          <w:szCs w:val="24"/>
          <w:lang w:val="en-GB"/>
        </w:rPr>
        <w:t>3. Results and Discussion</w:t>
      </w:r>
    </w:p>
    <w:p w14:paraId="1B51347B" w14:textId="451CD81F" w:rsidR="00355F6E" w:rsidRPr="00BD770B" w:rsidRDefault="00355F6E" w:rsidP="00831343">
      <w:pPr>
        <w:tabs>
          <w:tab w:val="left" w:pos="567"/>
        </w:tabs>
        <w:ind w:firstLine="0"/>
        <w:rPr>
          <w:szCs w:val="24"/>
          <w:lang w:val="en-GB"/>
        </w:rPr>
      </w:pPr>
      <w:r w:rsidRPr="00BD770B">
        <w:rPr>
          <w:szCs w:val="24"/>
          <w:lang w:val="en-GB"/>
        </w:rPr>
        <w:t xml:space="preserve">3.1 </w:t>
      </w:r>
      <w:r w:rsidR="0095432A" w:rsidRPr="0095432A">
        <w:rPr>
          <w:szCs w:val="24"/>
          <w:lang w:val="en-GB"/>
        </w:rPr>
        <w:t>Comparison between SPI and MGI</w:t>
      </w:r>
    </w:p>
    <w:p w14:paraId="4726BDF8" w14:textId="6783F9D8" w:rsidR="00355F6E" w:rsidRPr="00513BE3" w:rsidRDefault="00513BE3" w:rsidP="00513BE3">
      <w:pPr>
        <w:rPr>
          <w:rFonts w:eastAsia="宋体" w:hint="eastAsia"/>
          <w:lang w:val="en-GB" w:eastAsia="zh-CN"/>
        </w:rPr>
      </w:pPr>
      <w:bookmarkStart w:id="3" w:name="OLE_LINK54"/>
      <w:r w:rsidRPr="00513BE3">
        <w:rPr>
          <w:lang w:val="en-GB"/>
        </w:rPr>
        <w:t>The comparison between SPI and MGI shows that both methods can trigger rapid plasma shutdown, but their mitigation characteristics are different</w:t>
      </w:r>
      <w:r w:rsidR="00C3769A">
        <w:rPr>
          <w:rFonts w:eastAsia="宋体" w:hint="eastAsia"/>
          <w:lang w:val="en-GB" w:eastAsia="zh-CN"/>
        </w:rPr>
        <w:t xml:space="preserve"> [6, 7]</w:t>
      </w:r>
      <w:r w:rsidRPr="00513BE3">
        <w:rPr>
          <w:lang w:val="en-GB"/>
        </w:rPr>
        <w:t xml:space="preserve">. Under similar target plasma conditions, SPI exhibits shorter pre-TQ and current-quench durations than MGI, together with stronger core radiation, lower electron temperature and reduced divertor heat flux, indicating more effective dissipation of thermal energy inside the confined plasma region. The radiation evolution also differs between the two methods. Although both injections cause a significant increase in radiated power during disruption, SPI produces a more uniform poloidal radiation distribution and a higher radiation peak, whereas the total radiated energy can be slightly higher in MGI cases, suggesting stronger edge radiation. The deeper impurity penetration in SPI enhances core cooling, and some fragments may continue to enter the plasma during the current-quench phase, affecting the late-stage radiation. In addition, SPI shows advantages in avoiding cold VDE-related </w:t>
      </w:r>
      <w:proofErr w:type="spellStart"/>
      <w:r w:rsidRPr="00513BE3">
        <w:rPr>
          <w:lang w:val="en-GB"/>
        </w:rPr>
        <w:t>behavior</w:t>
      </w:r>
      <w:proofErr w:type="spellEnd"/>
      <w:r w:rsidRPr="00513BE3">
        <w:rPr>
          <w:lang w:val="en-GB"/>
        </w:rPr>
        <w:t xml:space="preserve">: the second current spike, radiation tail, halo current and hard X-ray bursts observed in some MGI cases are not clearly seen in corresponding SPI cases. However, both methods can induce a transition from an initial n = 1 or n = 2 mode to a new reversed-rotation n = 1 mode, suggesting that this MHD transition is mainly driven by impurity-plasma </w:t>
      </w:r>
      <w:r w:rsidRPr="00513BE3">
        <w:rPr>
          <w:lang w:val="en-GB"/>
        </w:rPr>
        <w:lastRenderedPageBreak/>
        <w:t>interaction rather than the injection method itself.</w:t>
      </w:r>
    </w:p>
    <w:bookmarkEnd w:id="3"/>
    <w:p w14:paraId="3452C07D" w14:textId="647F5069" w:rsidR="00355F6E" w:rsidRPr="0095432A" w:rsidRDefault="00355F6E" w:rsidP="0095432A">
      <w:pPr>
        <w:ind w:firstLine="0"/>
        <w:rPr>
          <w:rFonts w:eastAsia="宋体" w:hint="eastAsia"/>
          <w:lang w:val="en-GB" w:eastAsia="zh-CN"/>
        </w:rPr>
      </w:pPr>
      <w:r w:rsidRPr="00BD770B">
        <w:rPr>
          <w:lang w:val="en-GB"/>
        </w:rPr>
        <w:t xml:space="preserve">3.2 </w:t>
      </w:r>
      <w:r w:rsidR="0095432A" w:rsidRPr="0095432A">
        <w:rPr>
          <w:lang w:val="en-GB"/>
        </w:rPr>
        <w:t>Comparison between SPI and ISPI</w:t>
      </w:r>
    </w:p>
    <w:p w14:paraId="0ED6A358" w14:textId="6DDD838F" w:rsidR="00420098" w:rsidRPr="00E67676" w:rsidRDefault="00420098" w:rsidP="00420098">
      <w:pPr>
        <w:rPr>
          <w:rFonts w:eastAsia="宋体" w:hint="eastAsia"/>
          <w:lang w:val="en-GB" w:eastAsia="zh-CN"/>
        </w:rPr>
      </w:pPr>
      <w:bookmarkStart w:id="4" w:name="OLE_LINK53"/>
      <w:r w:rsidRPr="00420098">
        <w:rPr>
          <w:rFonts w:eastAsia="宋体"/>
          <w:lang w:val="en-GB" w:eastAsia="zh-CN"/>
        </w:rPr>
        <w:t>The comparison between SPI and ISPI highlights the important role of fragment size and fragmentation degree in disruption mitigation</w:t>
      </w:r>
      <w:r w:rsidR="00C3769A">
        <w:rPr>
          <w:rFonts w:eastAsia="宋体" w:hint="eastAsia"/>
          <w:lang w:val="en-GB" w:eastAsia="zh-CN"/>
        </w:rPr>
        <w:t xml:space="preserve"> [8]</w:t>
      </w:r>
      <w:r w:rsidRPr="00420098">
        <w:rPr>
          <w:rFonts w:eastAsia="宋体"/>
          <w:lang w:val="en-GB" w:eastAsia="zh-CN"/>
        </w:rPr>
        <w:t xml:space="preserve">. High-speed camera images show that ISPI produces larger and more compact fragments than conventional SPI, which ablate more slowly in the edge plasma and maintain a visible ablation cloud for a longer time. This slower ablation process leads to a longer pre-TQ phase, suggesting delayed impurity assimilation and more gradual plasma cooling before the thermal collapse. The fragmentation degree also affects the CQ and radiation </w:t>
      </w:r>
      <w:proofErr w:type="spellStart"/>
      <w:r w:rsidRPr="00420098">
        <w:rPr>
          <w:rFonts w:eastAsia="宋体"/>
          <w:lang w:val="en-GB" w:eastAsia="zh-CN"/>
        </w:rPr>
        <w:t>behavior</w:t>
      </w:r>
      <w:proofErr w:type="spellEnd"/>
      <w:r w:rsidRPr="00420098">
        <w:rPr>
          <w:rFonts w:eastAsia="宋体"/>
          <w:lang w:val="en-GB" w:eastAsia="zh-CN"/>
        </w:rPr>
        <w:t xml:space="preserve">. In representative cases, ISPI can produce faster CQ decay, while statistical results show that the pre-TQ duration decreases with increasing pellet velocity and the CQ duration generally decreases with increasing injected Ne inventory. AXUV measurements further indicate that ISPI tends to produce a more uniform poloidal radiation distribution during the TQ, possibly because the larger fragments and longer ablation process allow impurities to spread more broadly before the final collapse. Nevertheless, larger ISPI fragments also reduce the effectiveness of halo-current mitigation. Compared with ISPI, conventional SPI has a higher probability of full halo-current suppression, likely because smaller and more numerous fragments are assimilated more rapidly and provide more effective early radiation cooling and resistivity increase. Therefore, large fragments may improve radiation symmetry, whereas conventional SPI is more </w:t>
      </w:r>
      <w:proofErr w:type="spellStart"/>
      <w:r w:rsidRPr="00420098">
        <w:rPr>
          <w:rFonts w:eastAsia="宋体"/>
          <w:lang w:val="en-GB" w:eastAsia="zh-CN"/>
        </w:rPr>
        <w:t>favorable</w:t>
      </w:r>
      <w:proofErr w:type="spellEnd"/>
      <w:r w:rsidRPr="00420098">
        <w:rPr>
          <w:rFonts w:eastAsia="宋体"/>
          <w:lang w:val="en-GB" w:eastAsia="zh-CN"/>
        </w:rPr>
        <w:t xml:space="preserve"> for halo-current control.</w:t>
      </w:r>
    </w:p>
    <w:bookmarkEnd w:id="4"/>
    <w:p w14:paraId="144AB773" w14:textId="00D1170C" w:rsidR="00355F6E" w:rsidRPr="00EE4E55" w:rsidRDefault="00355F6E" w:rsidP="0095432A">
      <w:pPr>
        <w:ind w:firstLine="0"/>
        <w:rPr>
          <w:rFonts w:eastAsia="宋体" w:hint="eastAsia"/>
          <w:lang w:val="en-GB" w:eastAsia="zh-CN"/>
        </w:rPr>
      </w:pPr>
      <w:r w:rsidRPr="00BD770B">
        <w:rPr>
          <w:lang w:val="en-GB"/>
        </w:rPr>
        <w:t>3.</w:t>
      </w:r>
      <w:r w:rsidR="00EE4E55">
        <w:rPr>
          <w:rFonts w:eastAsia="宋体" w:hint="eastAsia"/>
          <w:lang w:val="en-GB" w:eastAsia="zh-CN"/>
        </w:rPr>
        <w:t>3</w:t>
      </w:r>
      <w:r w:rsidRPr="00BD770B">
        <w:rPr>
          <w:lang w:val="en-GB"/>
        </w:rPr>
        <w:t xml:space="preserve"> Runaway Electron</w:t>
      </w:r>
    </w:p>
    <w:p w14:paraId="6A5DA6DA" w14:textId="68B30342" w:rsidR="00EE4E55" w:rsidRDefault="00EE4E55" w:rsidP="00831343">
      <w:pPr>
        <w:rPr>
          <w:rFonts w:eastAsia="宋体"/>
          <w:lang w:eastAsia="zh-CN"/>
        </w:rPr>
      </w:pPr>
      <w:bookmarkStart w:id="5" w:name="OLE_LINK51"/>
      <w:r w:rsidRPr="00EE4E55">
        <w:rPr>
          <w:rFonts w:eastAsia="宋体"/>
          <w:lang w:eastAsia="zh-CN"/>
        </w:rPr>
        <w:t>Runaway</w:t>
      </w:r>
      <w:r>
        <w:rPr>
          <w:rFonts w:eastAsia="宋体" w:hint="eastAsia"/>
          <w:lang w:eastAsia="zh-CN"/>
        </w:rPr>
        <w:t xml:space="preserve"> </w:t>
      </w:r>
      <w:r w:rsidRPr="00EE4E55">
        <w:rPr>
          <w:rFonts w:eastAsia="宋体"/>
          <w:lang w:eastAsia="zh-CN"/>
        </w:rPr>
        <w:t>electron</w:t>
      </w:r>
      <w:r>
        <w:rPr>
          <w:rFonts w:eastAsia="宋体" w:hint="eastAsia"/>
          <w:lang w:eastAsia="zh-CN"/>
        </w:rPr>
        <w:t xml:space="preserve"> </w:t>
      </w:r>
      <w:r>
        <w:rPr>
          <w:rFonts w:eastAsia="宋体"/>
          <w:lang w:eastAsia="zh-CN"/>
        </w:rPr>
        <w:t>behavior</w:t>
      </w:r>
      <w:r>
        <w:rPr>
          <w:rFonts w:eastAsia="宋体" w:hint="eastAsia"/>
          <w:lang w:eastAsia="zh-CN"/>
        </w:rPr>
        <w:t>s</w:t>
      </w:r>
      <w:bookmarkEnd w:id="5"/>
      <w:r w:rsidRPr="00EE4E55">
        <w:rPr>
          <w:rFonts w:eastAsia="宋体"/>
          <w:lang w:eastAsia="zh-CN"/>
        </w:rPr>
        <w:t xml:space="preserve"> also show differences among SPI,</w:t>
      </w:r>
      <w:r w:rsidRPr="00EE4E55">
        <w:rPr>
          <w:rFonts w:eastAsia="宋体"/>
          <w:lang w:eastAsia="zh-CN"/>
        </w:rPr>
        <w:t xml:space="preserve"> </w:t>
      </w:r>
      <w:r w:rsidRPr="00EE4E55">
        <w:rPr>
          <w:rFonts w:eastAsia="宋体"/>
          <w:lang w:eastAsia="zh-CN"/>
        </w:rPr>
        <w:t>ISPI and MGI</w:t>
      </w:r>
      <w:r>
        <w:rPr>
          <w:rFonts w:eastAsia="宋体" w:hint="eastAsia"/>
          <w:lang w:eastAsia="zh-CN"/>
        </w:rPr>
        <w:t xml:space="preserve"> in Fig.3</w:t>
      </w:r>
      <w:r w:rsidRPr="00EE4E55">
        <w:rPr>
          <w:rFonts w:eastAsia="宋体"/>
          <w:lang w:eastAsia="zh-CN"/>
        </w:rPr>
        <w:t>. MGI produces the strongest prompt hard X-ray and neutron response, suggesting the most intense runaway-electron-related activity in the compared cases. ISPI shows strong hard X-ray and neutron signals near the CQ phase, but the hard X-ray signal decays rapidly after CQ onset. SPI exhibits the weakest response, with a relatively lower post-CQ hard X-ray level. Although further dedicated experiments are required to quantify the runaway-electron population, these observations suggest that SPI may be more favorable for reducing runaway-electron-related risks than MGI and ISPI under the present experimental conditions.</w:t>
      </w:r>
    </w:p>
    <w:p w14:paraId="02387A66" w14:textId="2DD002C7" w:rsidR="00355F6E" w:rsidRPr="00E67676" w:rsidRDefault="00355F6E" w:rsidP="0095432A">
      <w:pPr>
        <w:ind w:firstLine="0"/>
        <w:rPr>
          <w:b/>
          <w:bCs/>
          <w:lang w:val="en-GB"/>
        </w:rPr>
      </w:pPr>
      <w:r w:rsidRPr="00E67676">
        <w:rPr>
          <w:b/>
          <w:bCs/>
          <w:lang w:val="en-GB"/>
        </w:rPr>
        <w:t xml:space="preserve">4. </w:t>
      </w:r>
      <w:r w:rsidR="00965975" w:rsidRPr="00E67676">
        <w:rPr>
          <w:b/>
          <w:bCs/>
          <w:lang w:val="en-GB"/>
        </w:rPr>
        <w:t>Summary and outlook</w:t>
      </w:r>
    </w:p>
    <w:p w14:paraId="6E1B9DC4" w14:textId="471EB151" w:rsidR="00EE4E55" w:rsidRDefault="00EE4E55" w:rsidP="00EE4E55">
      <w:pPr>
        <w:rPr>
          <w:rFonts w:eastAsia="宋体" w:hint="eastAsia"/>
          <w:lang w:val="en-GB" w:eastAsia="zh-CN"/>
        </w:rPr>
      </w:pPr>
      <w:r w:rsidRPr="00EE4E55">
        <w:rPr>
          <w:rFonts w:eastAsia="宋体"/>
          <w:lang w:val="en-GB" w:eastAsia="zh-CN"/>
        </w:rPr>
        <w:t xml:space="preserve">Disruption mitigation experiments using MGI, SPI and ISPI have been investigated in EAST with metal wall components. The results further verify the advantages of SPI compared with MGI. SPI provides stronger core radiation, lower electron temperature, reduced divertor heat flux, and a more uniform poloidal radiation distribution. More importantly, SPI enables rapid core cooling without the clear cold VDE </w:t>
      </w:r>
      <w:proofErr w:type="spellStart"/>
      <w:r w:rsidRPr="00EE4E55">
        <w:rPr>
          <w:rFonts w:eastAsia="宋体"/>
          <w:lang w:val="en-GB" w:eastAsia="zh-CN"/>
        </w:rPr>
        <w:t>behavior</w:t>
      </w:r>
      <w:proofErr w:type="spellEnd"/>
      <w:r w:rsidRPr="00EE4E55">
        <w:rPr>
          <w:rFonts w:eastAsia="宋体"/>
          <w:lang w:val="en-GB" w:eastAsia="zh-CN"/>
        </w:rPr>
        <w:t xml:space="preserve"> observed in some MGI cases.</w:t>
      </w:r>
      <w:r>
        <w:rPr>
          <w:rFonts w:eastAsia="宋体" w:hint="eastAsia"/>
          <w:lang w:val="en-GB" w:eastAsia="zh-CN"/>
        </w:rPr>
        <w:t xml:space="preserve"> </w:t>
      </w:r>
      <w:r w:rsidRPr="00EE4E55">
        <w:rPr>
          <w:rFonts w:eastAsia="宋体"/>
          <w:lang w:val="en-GB" w:eastAsia="zh-CN"/>
        </w:rPr>
        <w:t xml:space="preserve">The comparison between SPI and ISPI shows that pellet fragment size has a strong influence on mitigation performance. ISPI produces larger and more compact fragments with slower ablation, </w:t>
      </w:r>
      <w:r w:rsidRPr="00EE4E55">
        <w:rPr>
          <w:rFonts w:eastAsia="宋体"/>
          <w:lang w:val="en-GB" w:eastAsia="zh-CN"/>
        </w:rPr>
        <w:lastRenderedPageBreak/>
        <w:t>resulting in longer pre-TQ duration, faster CQ decay, stronger halo-current risk, and more uniform TQ poloidal radiation. Therefore, large fragments may improve radiation symmetry, but they can reduce the effectiveness of halo-current mitigation if impurity assimilation is too slow. Conventional SPI shows a better overall mitigation capability, especially in halo-current suppression.</w:t>
      </w:r>
      <w:r w:rsidR="00282438">
        <w:rPr>
          <w:rFonts w:eastAsia="宋体" w:hint="eastAsia"/>
          <w:lang w:val="en-GB" w:eastAsia="zh-CN"/>
        </w:rPr>
        <w:t xml:space="preserve"> </w:t>
      </w:r>
      <w:r w:rsidR="00E67676" w:rsidRPr="00E67676">
        <w:rPr>
          <w:rFonts w:eastAsia="宋体"/>
          <w:lang w:val="en-GB" w:eastAsia="zh-CN"/>
        </w:rPr>
        <w:t>Based on the above experimental results, different injection methods exhibit different mitigation effects at different phases of the disruption, as summarized in Table 1.</w:t>
      </w:r>
    </w:p>
    <w:p w14:paraId="755173A1" w14:textId="7F8550EE" w:rsidR="00355F6E" w:rsidRPr="00B91EC1" w:rsidRDefault="00355F6E" w:rsidP="00B91EC1">
      <w:pPr>
        <w:jc w:val="center"/>
        <w:rPr>
          <w:rFonts w:eastAsia="宋体" w:hint="eastAsia"/>
          <w:sz w:val="21"/>
          <w:szCs w:val="20"/>
          <w:lang w:val="en-GB" w:eastAsia="zh-CN"/>
        </w:rPr>
      </w:pPr>
      <w:r w:rsidRPr="00B91EC1">
        <w:rPr>
          <w:sz w:val="21"/>
          <w:szCs w:val="20"/>
          <w:lang w:val="en-GB"/>
        </w:rPr>
        <w:t>Ta</w:t>
      </w:r>
      <w:r w:rsidR="00B91EC1" w:rsidRPr="00B91EC1">
        <w:rPr>
          <w:rFonts w:eastAsia="宋体" w:hint="eastAsia"/>
          <w:sz w:val="21"/>
          <w:szCs w:val="20"/>
          <w:lang w:val="en-GB" w:eastAsia="zh-CN"/>
        </w:rPr>
        <w:t>b. 1</w:t>
      </w:r>
      <w:r w:rsidR="00E67676">
        <w:rPr>
          <w:rFonts w:eastAsia="宋体" w:hint="eastAsia"/>
          <w:sz w:val="21"/>
          <w:szCs w:val="20"/>
          <w:lang w:val="en-GB" w:eastAsia="zh-CN"/>
        </w:rPr>
        <w:t xml:space="preserve"> </w:t>
      </w:r>
    </w:p>
    <w:tbl>
      <w:tblPr>
        <w:tblStyle w:val="ab"/>
        <w:tblW w:w="0" w:type="auto"/>
        <w:jc w:val="center"/>
        <w:tblLook w:val="04A0" w:firstRow="1" w:lastRow="0" w:firstColumn="1" w:lastColumn="0" w:noHBand="0" w:noVBand="1"/>
      </w:tblPr>
      <w:tblGrid>
        <w:gridCol w:w="1980"/>
        <w:gridCol w:w="1417"/>
        <w:gridCol w:w="1985"/>
        <w:gridCol w:w="1559"/>
        <w:gridCol w:w="1564"/>
      </w:tblGrid>
      <w:tr w:rsidR="00E2485B" w14:paraId="0DEA6085" w14:textId="77777777" w:rsidTr="00B91EC1">
        <w:trPr>
          <w:jc w:val="center"/>
        </w:trPr>
        <w:tc>
          <w:tcPr>
            <w:tcW w:w="1980" w:type="dxa"/>
            <w:vMerge w:val="restart"/>
            <w:tcBorders>
              <w:top w:val="single" w:sz="4" w:space="0" w:color="auto"/>
              <w:left w:val="nil"/>
              <w:bottom w:val="nil"/>
              <w:right w:val="nil"/>
            </w:tcBorders>
            <w:vAlign w:val="center"/>
          </w:tcPr>
          <w:p w14:paraId="46B8CF43" w14:textId="1A53570C" w:rsidR="00E2485B" w:rsidRPr="00B91EC1" w:rsidRDefault="00E2485B" w:rsidP="00C3769A">
            <w:pPr>
              <w:spacing w:line="276" w:lineRule="auto"/>
              <w:ind w:left="0" w:firstLine="0"/>
              <w:jc w:val="center"/>
              <w:rPr>
                <w:sz w:val="21"/>
                <w:szCs w:val="21"/>
                <w:lang w:val="en-GB"/>
              </w:rPr>
            </w:pPr>
            <w:r w:rsidRPr="00B91EC1">
              <w:rPr>
                <w:sz w:val="21"/>
                <w:szCs w:val="21"/>
                <w:lang w:val="en-GB"/>
              </w:rPr>
              <w:t>Mitigation method</w:t>
            </w:r>
          </w:p>
        </w:tc>
        <w:tc>
          <w:tcPr>
            <w:tcW w:w="1417" w:type="dxa"/>
            <w:tcBorders>
              <w:top w:val="single" w:sz="4" w:space="0" w:color="auto"/>
              <w:left w:val="nil"/>
              <w:bottom w:val="nil"/>
              <w:right w:val="nil"/>
            </w:tcBorders>
            <w:vAlign w:val="center"/>
          </w:tcPr>
          <w:p w14:paraId="3AF4250B" w14:textId="712A4AD2" w:rsidR="00E2485B" w:rsidRPr="00B91EC1" w:rsidRDefault="00E2485B" w:rsidP="00C3769A">
            <w:pPr>
              <w:spacing w:line="276" w:lineRule="auto"/>
              <w:ind w:left="0" w:firstLine="0"/>
              <w:jc w:val="center"/>
              <w:rPr>
                <w:rFonts w:eastAsia="宋体" w:hint="eastAsia"/>
                <w:sz w:val="21"/>
                <w:szCs w:val="21"/>
                <w:lang w:val="en-GB" w:eastAsia="zh-CN"/>
              </w:rPr>
            </w:pPr>
            <w:r w:rsidRPr="00B91EC1">
              <w:rPr>
                <w:rFonts w:eastAsia="宋体" w:hint="eastAsia"/>
                <w:sz w:val="21"/>
                <w:szCs w:val="21"/>
                <w:lang w:val="en-GB" w:eastAsia="zh-CN"/>
              </w:rPr>
              <w:t>Pre-TQ</w:t>
            </w:r>
          </w:p>
        </w:tc>
        <w:tc>
          <w:tcPr>
            <w:tcW w:w="1985" w:type="dxa"/>
            <w:tcBorders>
              <w:top w:val="single" w:sz="4" w:space="0" w:color="auto"/>
              <w:left w:val="nil"/>
              <w:bottom w:val="nil"/>
              <w:right w:val="nil"/>
            </w:tcBorders>
            <w:vAlign w:val="center"/>
          </w:tcPr>
          <w:p w14:paraId="433DD975" w14:textId="27901679" w:rsidR="00E2485B" w:rsidRPr="00B91EC1" w:rsidRDefault="00E2485B" w:rsidP="00C3769A">
            <w:pPr>
              <w:spacing w:line="276" w:lineRule="auto"/>
              <w:ind w:left="0" w:firstLine="0"/>
              <w:jc w:val="center"/>
              <w:rPr>
                <w:rFonts w:eastAsia="宋体" w:hint="eastAsia"/>
                <w:sz w:val="21"/>
                <w:szCs w:val="21"/>
                <w:lang w:val="en-GB" w:eastAsia="zh-CN"/>
              </w:rPr>
            </w:pPr>
            <w:r w:rsidRPr="00B91EC1">
              <w:rPr>
                <w:rFonts w:eastAsia="宋体" w:hint="eastAsia"/>
                <w:sz w:val="21"/>
                <w:szCs w:val="21"/>
                <w:lang w:val="en-GB" w:eastAsia="zh-CN"/>
              </w:rPr>
              <w:t>TQ</w:t>
            </w:r>
          </w:p>
        </w:tc>
        <w:tc>
          <w:tcPr>
            <w:tcW w:w="3123" w:type="dxa"/>
            <w:gridSpan w:val="2"/>
            <w:tcBorders>
              <w:top w:val="single" w:sz="4" w:space="0" w:color="auto"/>
              <w:left w:val="nil"/>
              <w:bottom w:val="nil"/>
              <w:right w:val="nil"/>
            </w:tcBorders>
            <w:vAlign w:val="center"/>
          </w:tcPr>
          <w:p w14:paraId="541D9502" w14:textId="100F4E81" w:rsidR="00E2485B" w:rsidRPr="00B91EC1" w:rsidRDefault="00E2485B" w:rsidP="00C3769A">
            <w:pPr>
              <w:spacing w:line="276" w:lineRule="auto"/>
              <w:ind w:left="0" w:firstLine="0"/>
              <w:jc w:val="center"/>
              <w:rPr>
                <w:rFonts w:eastAsia="宋体" w:hint="eastAsia"/>
                <w:sz w:val="21"/>
                <w:szCs w:val="21"/>
                <w:lang w:val="en-GB" w:eastAsia="zh-CN"/>
              </w:rPr>
            </w:pPr>
            <w:r w:rsidRPr="00B91EC1">
              <w:rPr>
                <w:rFonts w:eastAsia="宋体" w:hint="eastAsia"/>
                <w:sz w:val="21"/>
                <w:szCs w:val="21"/>
                <w:lang w:val="en-GB" w:eastAsia="zh-CN"/>
              </w:rPr>
              <w:t>CQ</w:t>
            </w:r>
          </w:p>
        </w:tc>
      </w:tr>
      <w:tr w:rsidR="009336AB" w14:paraId="3CC5693F" w14:textId="77777777" w:rsidTr="00B91EC1">
        <w:trPr>
          <w:jc w:val="center"/>
        </w:trPr>
        <w:tc>
          <w:tcPr>
            <w:tcW w:w="1980" w:type="dxa"/>
            <w:vMerge/>
            <w:tcBorders>
              <w:left w:val="nil"/>
              <w:bottom w:val="single" w:sz="4" w:space="0" w:color="auto"/>
              <w:right w:val="nil"/>
            </w:tcBorders>
            <w:vAlign w:val="center"/>
          </w:tcPr>
          <w:p w14:paraId="73858C47" w14:textId="77777777" w:rsidR="009336AB" w:rsidRPr="00B91EC1" w:rsidRDefault="009336AB" w:rsidP="00C3769A">
            <w:pPr>
              <w:spacing w:line="276" w:lineRule="auto"/>
              <w:ind w:left="0" w:firstLine="0"/>
              <w:jc w:val="center"/>
              <w:rPr>
                <w:sz w:val="21"/>
                <w:szCs w:val="21"/>
                <w:lang w:val="en-GB"/>
              </w:rPr>
            </w:pPr>
          </w:p>
        </w:tc>
        <w:tc>
          <w:tcPr>
            <w:tcW w:w="1417" w:type="dxa"/>
            <w:tcBorders>
              <w:top w:val="nil"/>
              <w:left w:val="nil"/>
              <w:bottom w:val="single" w:sz="4" w:space="0" w:color="auto"/>
              <w:right w:val="nil"/>
            </w:tcBorders>
            <w:vAlign w:val="center"/>
          </w:tcPr>
          <w:p w14:paraId="6563884F" w14:textId="086033D8" w:rsidR="009336AB" w:rsidRPr="00B91EC1" w:rsidRDefault="00E2485B" w:rsidP="00C3769A">
            <w:pPr>
              <w:spacing w:line="276" w:lineRule="auto"/>
              <w:ind w:left="0" w:firstLine="0"/>
              <w:jc w:val="center"/>
              <w:rPr>
                <w:rFonts w:eastAsia="宋体" w:hint="eastAsia"/>
                <w:sz w:val="21"/>
                <w:szCs w:val="21"/>
                <w:lang w:val="en-GB" w:eastAsia="zh-CN"/>
              </w:rPr>
            </w:pPr>
            <w:proofErr w:type="spellStart"/>
            <w:r w:rsidRPr="00B91EC1">
              <w:rPr>
                <w:rFonts w:eastAsia="宋体" w:hint="eastAsia"/>
                <w:sz w:val="21"/>
                <w:szCs w:val="21"/>
                <w:lang w:val="en-GB" w:eastAsia="zh-CN"/>
              </w:rPr>
              <w:t>t</w:t>
            </w:r>
            <w:r w:rsidRPr="00B91EC1">
              <w:rPr>
                <w:rFonts w:eastAsia="宋体" w:hint="eastAsia"/>
                <w:sz w:val="21"/>
                <w:szCs w:val="21"/>
                <w:vertAlign w:val="subscript"/>
                <w:lang w:val="en-GB" w:eastAsia="zh-CN"/>
              </w:rPr>
              <w:t>pre</w:t>
            </w:r>
            <w:proofErr w:type="spellEnd"/>
            <w:r w:rsidRPr="00B91EC1">
              <w:rPr>
                <w:rFonts w:eastAsia="宋体" w:hint="eastAsia"/>
                <w:sz w:val="21"/>
                <w:szCs w:val="21"/>
                <w:vertAlign w:val="subscript"/>
                <w:lang w:val="en-GB" w:eastAsia="zh-CN"/>
              </w:rPr>
              <w:t>-TQ</w:t>
            </w:r>
          </w:p>
        </w:tc>
        <w:tc>
          <w:tcPr>
            <w:tcW w:w="1985" w:type="dxa"/>
            <w:tcBorders>
              <w:top w:val="nil"/>
              <w:left w:val="nil"/>
              <w:bottom w:val="single" w:sz="4" w:space="0" w:color="auto"/>
              <w:right w:val="nil"/>
            </w:tcBorders>
            <w:vAlign w:val="center"/>
          </w:tcPr>
          <w:p w14:paraId="36713D1B" w14:textId="44AB577A" w:rsidR="009336AB" w:rsidRPr="00B91EC1" w:rsidRDefault="00B91EC1" w:rsidP="00C3769A">
            <w:pPr>
              <w:spacing w:line="276" w:lineRule="auto"/>
              <w:ind w:left="0" w:firstLine="0"/>
              <w:jc w:val="center"/>
              <w:rPr>
                <w:sz w:val="21"/>
                <w:szCs w:val="21"/>
                <w:lang w:val="en-GB"/>
              </w:rPr>
            </w:pPr>
            <w:r w:rsidRPr="00B91EC1">
              <w:rPr>
                <w:sz w:val="21"/>
                <w:szCs w:val="21"/>
                <w:lang w:val="en-GB"/>
              </w:rPr>
              <w:t>Poloidal radiation</w:t>
            </w:r>
          </w:p>
        </w:tc>
        <w:tc>
          <w:tcPr>
            <w:tcW w:w="1559" w:type="dxa"/>
            <w:tcBorders>
              <w:top w:val="nil"/>
              <w:left w:val="nil"/>
              <w:bottom w:val="single" w:sz="4" w:space="0" w:color="auto"/>
              <w:right w:val="nil"/>
            </w:tcBorders>
            <w:vAlign w:val="center"/>
          </w:tcPr>
          <w:p w14:paraId="3141F8B2" w14:textId="2091D6AD" w:rsidR="009336AB" w:rsidRPr="00B91EC1" w:rsidRDefault="00B91EC1" w:rsidP="00C3769A">
            <w:pPr>
              <w:spacing w:line="276" w:lineRule="auto"/>
              <w:ind w:left="0" w:firstLine="0"/>
              <w:jc w:val="center"/>
              <w:rPr>
                <w:rFonts w:eastAsia="宋体" w:hint="eastAsia"/>
                <w:sz w:val="21"/>
                <w:szCs w:val="21"/>
                <w:lang w:val="en-GB" w:eastAsia="zh-CN"/>
              </w:rPr>
            </w:pPr>
            <w:r w:rsidRPr="00B91EC1">
              <w:rPr>
                <w:rFonts w:eastAsia="宋体" w:hint="eastAsia"/>
                <w:sz w:val="21"/>
                <w:szCs w:val="21"/>
                <w:lang w:val="en-GB" w:eastAsia="zh-CN"/>
              </w:rPr>
              <w:t>CQ decay</w:t>
            </w:r>
          </w:p>
        </w:tc>
        <w:tc>
          <w:tcPr>
            <w:tcW w:w="1564" w:type="dxa"/>
            <w:tcBorders>
              <w:top w:val="nil"/>
              <w:left w:val="nil"/>
              <w:bottom w:val="single" w:sz="4" w:space="0" w:color="auto"/>
              <w:right w:val="nil"/>
            </w:tcBorders>
            <w:vAlign w:val="center"/>
          </w:tcPr>
          <w:p w14:paraId="4AEE8DDE" w14:textId="73C81C6E" w:rsidR="00B91EC1" w:rsidRPr="00B91EC1" w:rsidRDefault="00B91EC1" w:rsidP="00C3769A">
            <w:pPr>
              <w:spacing w:line="276" w:lineRule="auto"/>
              <w:ind w:left="0" w:firstLine="0"/>
              <w:jc w:val="center"/>
              <w:rPr>
                <w:rFonts w:eastAsia="宋体" w:hint="eastAsia"/>
                <w:sz w:val="21"/>
                <w:szCs w:val="21"/>
                <w:lang w:val="en-GB" w:eastAsia="zh-CN"/>
              </w:rPr>
            </w:pPr>
            <w:r w:rsidRPr="00B91EC1">
              <w:rPr>
                <w:rFonts w:eastAsia="宋体"/>
                <w:sz w:val="21"/>
                <w:szCs w:val="21"/>
                <w:lang w:val="en-GB" w:eastAsia="zh-CN"/>
              </w:rPr>
              <w:t>H</w:t>
            </w:r>
            <w:r w:rsidRPr="00B91EC1">
              <w:rPr>
                <w:rFonts w:eastAsia="宋体" w:hint="eastAsia"/>
                <w:sz w:val="21"/>
                <w:szCs w:val="21"/>
                <w:lang w:val="en-GB" w:eastAsia="zh-CN"/>
              </w:rPr>
              <w:t>alo current</w:t>
            </w:r>
          </w:p>
        </w:tc>
      </w:tr>
      <w:tr w:rsidR="009336AB" w14:paraId="7AEDA876" w14:textId="77777777" w:rsidTr="00B91EC1">
        <w:trPr>
          <w:jc w:val="center"/>
        </w:trPr>
        <w:tc>
          <w:tcPr>
            <w:tcW w:w="1980" w:type="dxa"/>
            <w:tcBorders>
              <w:top w:val="single" w:sz="4" w:space="0" w:color="auto"/>
              <w:left w:val="nil"/>
              <w:bottom w:val="nil"/>
              <w:right w:val="nil"/>
            </w:tcBorders>
            <w:vAlign w:val="center"/>
          </w:tcPr>
          <w:p w14:paraId="7C63696E" w14:textId="3C197241" w:rsidR="009336AB" w:rsidRPr="00B91EC1" w:rsidRDefault="00B91EC1" w:rsidP="00C3769A">
            <w:pPr>
              <w:spacing w:line="276" w:lineRule="auto"/>
              <w:ind w:left="0" w:firstLine="0"/>
              <w:jc w:val="center"/>
              <w:rPr>
                <w:rFonts w:eastAsia="宋体" w:hint="eastAsia"/>
                <w:sz w:val="21"/>
                <w:szCs w:val="21"/>
                <w:lang w:val="en-GB" w:eastAsia="zh-CN"/>
              </w:rPr>
            </w:pPr>
            <w:r w:rsidRPr="00B91EC1">
              <w:rPr>
                <w:rFonts w:eastAsia="宋体" w:hint="eastAsia"/>
                <w:sz w:val="21"/>
                <w:szCs w:val="21"/>
                <w:lang w:val="en-GB" w:eastAsia="zh-CN"/>
              </w:rPr>
              <w:t>SPI</w:t>
            </w:r>
          </w:p>
        </w:tc>
        <w:tc>
          <w:tcPr>
            <w:tcW w:w="1417" w:type="dxa"/>
            <w:tcBorders>
              <w:top w:val="single" w:sz="4" w:space="0" w:color="auto"/>
              <w:left w:val="nil"/>
              <w:bottom w:val="nil"/>
              <w:right w:val="nil"/>
            </w:tcBorders>
            <w:vAlign w:val="center"/>
          </w:tcPr>
          <w:p w14:paraId="0CD08F1C" w14:textId="20501ABF" w:rsidR="009336AB" w:rsidRPr="00B91EC1" w:rsidRDefault="00B91EC1" w:rsidP="00C3769A">
            <w:pPr>
              <w:spacing w:line="276" w:lineRule="auto"/>
              <w:ind w:left="0" w:firstLine="0"/>
              <w:jc w:val="center"/>
              <w:rPr>
                <w:rFonts w:eastAsia="宋体" w:hint="eastAsia"/>
                <w:sz w:val="21"/>
                <w:szCs w:val="21"/>
                <w:lang w:val="en-GB" w:eastAsia="zh-CN"/>
              </w:rPr>
            </w:pPr>
            <w:r>
              <w:rPr>
                <w:rFonts w:eastAsia="宋体" w:hint="eastAsia"/>
                <w:sz w:val="21"/>
                <w:szCs w:val="21"/>
                <w:lang w:val="en-GB" w:eastAsia="zh-CN"/>
              </w:rPr>
              <w:t>Mod.</w:t>
            </w:r>
          </w:p>
        </w:tc>
        <w:tc>
          <w:tcPr>
            <w:tcW w:w="1985" w:type="dxa"/>
            <w:tcBorders>
              <w:top w:val="single" w:sz="4" w:space="0" w:color="auto"/>
              <w:left w:val="nil"/>
              <w:bottom w:val="nil"/>
              <w:right w:val="nil"/>
            </w:tcBorders>
            <w:vAlign w:val="center"/>
          </w:tcPr>
          <w:p w14:paraId="380ED93F" w14:textId="60C78412" w:rsidR="009336AB" w:rsidRPr="00B91EC1" w:rsidRDefault="00B91EC1" w:rsidP="00C3769A">
            <w:pPr>
              <w:spacing w:line="276" w:lineRule="auto"/>
              <w:ind w:left="0" w:firstLine="0"/>
              <w:jc w:val="center"/>
              <w:rPr>
                <w:rFonts w:eastAsia="宋体" w:hint="eastAsia"/>
                <w:sz w:val="21"/>
                <w:szCs w:val="21"/>
                <w:lang w:val="en-GB" w:eastAsia="zh-CN"/>
              </w:rPr>
            </w:pPr>
            <w:bookmarkStart w:id="6" w:name="OLE_LINK49"/>
            <w:r>
              <w:rPr>
                <w:rFonts w:eastAsia="宋体" w:hint="eastAsia"/>
                <w:sz w:val="21"/>
                <w:szCs w:val="21"/>
                <w:lang w:val="en-GB" w:eastAsia="zh-CN"/>
              </w:rPr>
              <w:t>Mod.</w:t>
            </w:r>
            <w:bookmarkEnd w:id="6"/>
          </w:p>
        </w:tc>
        <w:tc>
          <w:tcPr>
            <w:tcW w:w="1559" w:type="dxa"/>
            <w:tcBorders>
              <w:top w:val="single" w:sz="4" w:space="0" w:color="auto"/>
              <w:left w:val="nil"/>
              <w:bottom w:val="nil"/>
              <w:right w:val="nil"/>
            </w:tcBorders>
            <w:vAlign w:val="center"/>
          </w:tcPr>
          <w:p w14:paraId="2CB128F2" w14:textId="406E2A9A" w:rsidR="009336AB" w:rsidRPr="00B91EC1" w:rsidRDefault="00B91EC1" w:rsidP="00C3769A">
            <w:pPr>
              <w:spacing w:line="276" w:lineRule="auto"/>
              <w:ind w:left="0" w:firstLine="0"/>
              <w:jc w:val="center"/>
              <w:rPr>
                <w:sz w:val="21"/>
                <w:szCs w:val="21"/>
                <w:lang w:val="en-GB"/>
              </w:rPr>
            </w:pPr>
            <w:r>
              <w:rPr>
                <w:rFonts w:eastAsia="宋体" w:hint="eastAsia"/>
                <w:sz w:val="21"/>
                <w:szCs w:val="21"/>
                <w:lang w:val="en-GB" w:eastAsia="zh-CN"/>
              </w:rPr>
              <w:t>Mod.</w:t>
            </w:r>
          </w:p>
        </w:tc>
        <w:tc>
          <w:tcPr>
            <w:tcW w:w="1564" w:type="dxa"/>
            <w:tcBorders>
              <w:top w:val="single" w:sz="4" w:space="0" w:color="auto"/>
              <w:left w:val="nil"/>
              <w:bottom w:val="nil"/>
              <w:right w:val="nil"/>
            </w:tcBorders>
            <w:vAlign w:val="center"/>
          </w:tcPr>
          <w:p w14:paraId="237C8456" w14:textId="20F79DDE" w:rsidR="009336AB" w:rsidRPr="00B91EC1" w:rsidRDefault="00B91EC1" w:rsidP="00C3769A">
            <w:pPr>
              <w:spacing w:line="276" w:lineRule="auto"/>
              <w:ind w:left="0" w:firstLine="0"/>
              <w:jc w:val="center"/>
              <w:rPr>
                <w:sz w:val="21"/>
                <w:szCs w:val="21"/>
                <w:lang w:val="en-GB"/>
              </w:rPr>
            </w:pPr>
            <w:r>
              <w:rPr>
                <w:rFonts w:eastAsia="宋体" w:hint="eastAsia"/>
                <w:sz w:val="21"/>
                <w:szCs w:val="21"/>
                <w:lang w:val="en-GB" w:eastAsia="zh-CN"/>
              </w:rPr>
              <w:t>Max.</w:t>
            </w:r>
          </w:p>
        </w:tc>
      </w:tr>
      <w:tr w:rsidR="009336AB" w14:paraId="4521E8E7" w14:textId="77777777" w:rsidTr="00B91EC1">
        <w:trPr>
          <w:jc w:val="center"/>
        </w:trPr>
        <w:tc>
          <w:tcPr>
            <w:tcW w:w="1980" w:type="dxa"/>
            <w:tcBorders>
              <w:top w:val="nil"/>
              <w:left w:val="nil"/>
              <w:bottom w:val="nil"/>
              <w:right w:val="nil"/>
            </w:tcBorders>
            <w:vAlign w:val="center"/>
          </w:tcPr>
          <w:p w14:paraId="0A64B32D" w14:textId="7DE277D2" w:rsidR="009336AB" w:rsidRPr="00B91EC1" w:rsidRDefault="00B91EC1" w:rsidP="00C3769A">
            <w:pPr>
              <w:spacing w:line="276" w:lineRule="auto"/>
              <w:ind w:left="0" w:firstLine="0"/>
              <w:jc w:val="center"/>
              <w:rPr>
                <w:rFonts w:eastAsia="宋体" w:hint="eastAsia"/>
                <w:sz w:val="21"/>
                <w:szCs w:val="21"/>
                <w:lang w:val="en-GB" w:eastAsia="zh-CN"/>
              </w:rPr>
            </w:pPr>
            <w:r>
              <w:rPr>
                <w:rFonts w:eastAsia="宋体" w:hint="eastAsia"/>
                <w:sz w:val="21"/>
                <w:szCs w:val="21"/>
                <w:lang w:val="en-GB" w:eastAsia="zh-CN"/>
              </w:rPr>
              <w:t>ISPI</w:t>
            </w:r>
          </w:p>
        </w:tc>
        <w:tc>
          <w:tcPr>
            <w:tcW w:w="1417" w:type="dxa"/>
            <w:tcBorders>
              <w:top w:val="nil"/>
              <w:left w:val="nil"/>
              <w:bottom w:val="nil"/>
              <w:right w:val="nil"/>
            </w:tcBorders>
            <w:vAlign w:val="center"/>
          </w:tcPr>
          <w:p w14:paraId="543A8603" w14:textId="0A096079" w:rsidR="009336AB" w:rsidRPr="00B91EC1" w:rsidRDefault="00B91EC1" w:rsidP="00C3769A">
            <w:pPr>
              <w:spacing w:line="276" w:lineRule="auto"/>
              <w:ind w:left="0" w:firstLine="0"/>
              <w:jc w:val="center"/>
              <w:rPr>
                <w:rFonts w:eastAsia="宋体" w:hint="eastAsia"/>
                <w:sz w:val="21"/>
                <w:szCs w:val="21"/>
                <w:lang w:val="en-GB" w:eastAsia="zh-CN"/>
              </w:rPr>
            </w:pPr>
            <w:bookmarkStart w:id="7" w:name="OLE_LINK48"/>
            <w:r>
              <w:rPr>
                <w:rFonts w:eastAsia="宋体" w:hint="eastAsia"/>
                <w:sz w:val="21"/>
                <w:szCs w:val="21"/>
                <w:lang w:val="en-GB" w:eastAsia="zh-CN"/>
              </w:rPr>
              <w:t>Min.</w:t>
            </w:r>
            <w:bookmarkEnd w:id="7"/>
          </w:p>
        </w:tc>
        <w:tc>
          <w:tcPr>
            <w:tcW w:w="1985" w:type="dxa"/>
            <w:tcBorders>
              <w:top w:val="nil"/>
              <w:left w:val="nil"/>
              <w:bottom w:val="nil"/>
              <w:right w:val="nil"/>
            </w:tcBorders>
            <w:vAlign w:val="center"/>
          </w:tcPr>
          <w:p w14:paraId="6433F190" w14:textId="06C2F6F6" w:rsidR="009336AB" w:rsidRPr="00B91EC1" w:rsidRDefault="00B91EC1" w:rsidP="00C3769A">
            <w:pPr>
              <w:spacing w:line="276" w:lineRule="auto"/>
              <w:ind w:left="0" w:firstLine="0"/>
              <w:jc w:val="center"/>
              <w:rPr>
                <w:sz w:val="21"/>
                <w:szCs w:val="21"/>
                <w:lang w:val="en-GB"/>
              </w:rPr>
            </w:pPr>
            <w:r>
              <w:rPr>
                <w:rFonts w:eastAsia="宋体" w:hint="eastAsia"/>
                <w:sz w:val="21"/>
                <w:szCs w:val="21"/>
                <w:lang w:val="en-GB" w:eastAsia="zh-CN"/>
              </w:rPr>
              <w:t>Max.</w:t>
            </w:r>
          </w:p>
        </w:tc>
        <w:tc>
          <w:tcPr>
            <w:tcW w:w="1559" w:type="dxa"/>
            <w:tcBorders>
              <w:top w:val="nil"/>
              <w:left w:val="nil"/>
              <w:bottom w:val="nil"/>
              <w:right w:val="nil"/>
            </w:tcBorders>
            <w:vAlign w:val="center"/>
          </w:tcPr>
          <w:p w14:paraId="37C6FE4D" w14:textId="0088F3A4" w:rsidR="009336AB" w:rsidRPr="00B91EC1" w:rsidRDefault="00B91EC1" w:rsidP="00C3769A">
            <w:pPr>
              <w:spacing w:line="276" w:lineRule="auto"/>
              <w:ind w:left="0" w:firstLine="0"/>
              <w:jc w:val="center"/>
              <w:rPr>
                <w:sz w:val="21"/>
                <w:szCs w:val="21"/>
                <w:lang w:val="en-GB"/>
              </w:rPr>
            </w:pPr>
            <w:r>
              <w:rPr>
                <w:rFonts w:eastAsia="宋体" w:hint="eastAsia"/>
                <w:sz w:val="21"/>
                <w:szCs w:val="21"/>
                <w:lang w:val="en-GB" w:eastAsia="zh-CN"/>
              </w:rPr>
              <w:t>Max.</w:t>
            </w:r>
          </w:p>
        </w:tc>
        <w:tc>
          <w:tcPr>
            <w:tcW w:w="1564" w:type="dxa"/>
            <w:tcBorders>
              <w:top w:val="nil"/>
              <w:left w:val="nil"/>
              <w:bottom w:val="nil"/>
              <w:right w:val="nil"/>
            </w:tcBorders>
            <w:vAlign w:val="center"/>
          </w:tcPr>
          <w:p w14:paraId="68169368" w14:textId="5D653C25" w:rsidR="009336AB" w:rsidRPr="00B91EC1" w:rsidRDefault="00B91EC1" w:rsidP="00C3769A">
            <w:pPr>
              <w:spacing w:line="276" w:lineRule="auto"/>
              <w:ind w:left="0" w:firstLine="0"/>
              <w:jc w:val="center"/>
              <w:rPr>
                <w:sz w:val="21"/>
                <w:szCs w:val="21"/>
                <w:lang w:val="en-GB"/>
              </w:rPr>
            </w:pPr>
            <w:r>
              <w:rPr>
                <w:rFonts w:eastAsia="宋体" w:hint="eastAsia"/>
                <w:sz w:val="21"/>
                <w:szCs w:val="21"/>
                <w:lang w:val="en-GB" w:eastAsia="zh-CN"/>
              </w:rPr>
              <w:t>Mod.</w:t>
            </w:r>
          </w:p>
        </w:tc>
      </w:tr>
      <w:tr w:rsidR="009336AB" w14:paraId="6EE45375" w14:textId="77777777" w:rsidTr="00B91EC1">
        <w:trPr>
          <w:jc w:val="center"/>
        </w:trPr>
        <w:tc>
          <w:tcPr>
            <w:tcW w:w="1980" w:type="dxa"/>
            <w:tcBorders>
              <w:top w:val="nil"/>
              <w:left w:val="nil"/>
              <w:right w:val="nil"/>
            </w:tcBorders>
            <w:vAlign w:val="center"/>
          </w:tcPr>
          <w:p w14:paraId="40F0C3E1" w14:textId="19AD3FEF" w:rsidR="009336AB" w:rsidRPr="00B91EC1" w:rsidRDefault="00B91EC1" w:rsidP="00C3769A">
            <w:pPr>
              <w:spacing w:line="276" w:lineRule="auto"/>
              <w:ind w:left="0" w:firstLine="0"/>
              <w:jc w:val="center"/>
              <w:rPr>
                <w:rFonts w:eastAsia="宋体" w:hint="eastAsia"/>
                <w:sz w:val="21"/>
                <w:szCs w:val="21"/>
                <w:lang w:val="en-GB" w:eastAsia="zh-CN"/>
              </w:rPr>
            </w:pPr>
            <w:r>
              <w:rPr>
                <w:rFonts w:eastAsia="宋体" w:hint="eastAsia"/>
                <w:sz w:val="21"/>
                <w:szCs w:val="21"/>
                <w:lang w:val="en-GB" w:eastAsia="zh-CN"/>
              </w:rPr>
              <w:t>MGI</w:t>
            </w:r>
          </w:p>
        </w:tc>
        <w:tc>
          <w:tcPr>
            <w:tcW w:w="1417" w:type="dxa"/>
            <w:tcBorders>
              <w:top w:val="nil"/>
              <w:left w:val="nil"/>
              <w:right w:val="nil"/>
            </w:tcBorders>
            <w:vAlign w:val="center"/>
          </w:tcPr>
          <w:p w14:paraId="6F976008" w14:textId="5F3F339E" w:rsidR="009336AB" w:rsidRPr="00B91EC1" w:rsidRDefault="00B91EC1" w:rsidP="00C3769A">
            <w:pPr>
              <w:spacing w:line="276" w:lineRule="auto"/>
              <w:ind w:left="0" w:firstLine="0"/>
              <w:jc w:val="center"/>
              <w:rPr>
                <w:rFonts w:eastAsia="宋体" w:hint="eastAsia"/>
                <w:sz w:val="21"/>
                <w:szCs w:val="21"/>
                <w:lang w:val="en-GB" w:eastAsia="zh-CN"/>
              </w:rPr>
            </w:pPr>
            <w:bookmarkStart w:id="8" w:name="OLE_LINK47"/>
            <w:r>
              <w:rPr>
                <w:rFonts w:eastAsia="宋体" w:hint="eastAsia"/>
                <w:sz w:val="21"/>
                <w:szCs w:val="21"/>
                <w:lang w:val="en-GB" w:eastAsia="zh-CN"/>
              </w:rPr>
              <w:t>Max.</w:t>
            </w:r>
            <w:bookmarkEnd w:id="8"/>
          </w:p>
        </w:tc>
        <w:tc>
          <w:tcPr>
            <w:tcW w:w="1985" w:type="dxa"/>
            <w:tcBorders>
              <w:top w:val="nil"/>
              <w:left w:val="nil"/>
              <w:right w:val="nil"/>
            </w:tcBorders>
            <w:vAlign w:val="center"/>
          </w:tcPr>
          <w:p w14:paraId="1D4C162F" w14:textId="3C5617C1" w:rsidR="009336AB" w:rsidRPr="00B91EC1" w:rsidRDefault="00B91EC1" w:rsidP="00C3769A">
            <w:pPr>
              <w:spacing w:line="276" w:lineRule="auto"/>
              <w:ind w:left="0" w:firstLine="0"/>
              <w:jc w:val="center"/>
              <w:rPr>
                <w:sz w:val="21"/>
                <w:szCs w:val="21"/>
                <w:lang w:val="en-GB"/>
              </w:rPr>
            </w:pPr>
            <w:r>
              <w:rPr>
                <w:rFonts w:eastAsia="宋体" w:hint="eastAsia"/>
                <w:sz w:val="21"/>
                <w:szCs w:val="21"/>
                <w:lang w:val="en-GB" w:eastAsia="zh-CN"/>
              </w:rPr>
              <w:t>Min.</w:t>
            </w:r>
          </w:p>
        </w:tc>
        <w:tc>
          <w:tcPr>
            <w:tcW w:w="1559" w:type="dxa"/>
            <w:tcBorders>
              <w:top w:val="nil"/>
              <w:left w:val="nil"/>
              <w:right w:val="nil"/>
            </w:tcBorders>
            <w:vAlign w:val="center"/>
          </w:tcPr>
          <w:p w14:paraId="0AFBC58B" w14:textId="4DDA15CA" w:rsidR="009336AB" w:rsidRPr="00B91EC1" w:rsidRDefault="00B91EC1" w:rsidP="00C3769A">
            <w:pPr>
              <w:spacing w:line="276" w:lineRule="auto"/>
              <w:ind w:left="0" w:firstLine="0"/>
              <w:jc w:val="center"/>
              <w:rPr>
                <w:sz w:val="21"/>
                <w:szCs w:val="21"/>
                <w:lang w:val="en-GB"/>
              </w:rPr>
            </w:pPr>
            <w:r>
              <w:rPr>
                <w:rFonts w:eastAsia="宋体" w:hint="eastAsia"/>
                <w:sz w:val="21"/>
                <w:szCs w:val="21"/>
                <w:lang w:val="en-GB" w:eastAsia="zh-CN"/>
              </w:rPr>
              <w:t>Min.</w:t>
            </w:r>
          </w:p>
        </w:tc>
        <w:tc>
          <w:tcPr>
            <w:tcW w:w="1564" w:type="dxa"/>
            <w:tcBorders>
              <w:top w:val="nil"/>
              <w:left w:val="nil"/>
              <w:right w:val="nil"/>
            </w:tcBorders>
            <w:vAlign w:val="center"/>
          </w:tcPr>
          <w:p w14:paraId="77D62F5F" w14:textId="4282B595" w:rsidR="009336AB" w:rsidRPr="00B91EC1" w:rsidRDefault="00B91EC1" w:rsidP="00C3769A">
            <w:pPr>
              <w:spacing w:line="276" w:lineRule="auto"/>
              <w:ind w:left="0" w:firstLine="0"/>
              <w:jc w:val="center"/>
              <w:rPr>
                <w:sz w:val="21"/>
                <w:szCs w:val="21"/>
                <w:lang w:val="en-GB"/>
              </w:rPr>
            </w:pPr>
            <w:r>
              <w:rPr>
                <w:rFonts w:eastAsia="宋体" w:hint="eastAsia"/>
                <w:sz w:val="21"/>
                <w:szCs w:val="21"/>
                <w:lang w:val="en-GB" w:eastAsia="zh-CN"/>
              </w:rPr>
              <w:t>Min.</w:t>
            </w:r>
          </w:p>
        </w:tc>
      </w:tr>
    </w:tbl>
    <w:p w14:paraId="50CDCDEA" w14:textId="38065CC8" w:rsidR="00355F6E" w:rsidRPr="00282438" w:rsidRDefault="00EE4E55" w:rsidP="00282438">
      <w:pPr>
        <w:rPr>
          <w:rFonts w:eastAsia="宋体" w:hint="eastAsia"/>
          <w:lang w:val="en-GB" w:eastAsia="zh-CN"/>
        </w:rPr>
      </w:pPr>
      <w:r w:rsidRPr="00EE4E55">
        <w:rPr>
          <w:rFonts w:eastAsia="宋体"/>
          <w:lang w:val="en-GB" w:eastAsia="zh-CN"/>
        </w:rPr>
        <w:t xml:space="preserve">Future work on EAST will focus on further disruption mitigation experiments after the upgrade toward full W wall conditions. The optimization of mixed H2-Ne SPI will be important for suppressing impurity </w:t>
      </w:r>
      <w:proofErr w:type="spellStart"/>
      <w:r w:rsidRPr="00EE4E55">
        <w:rPr>
          <w:rFonts w:eastAsia="宋体"/>
          <w:lang w:val="en-GB" w:eastAsia="zh-CN"/>
        </w:rPr>
        <w:t>plasmoid</w:t>
      </w:r>
      <w:proofErr w:type="spellEnd"/>
      <w:r w:rsidRPr="00EE4E55">
        <w:rPr>
          <w:rFonts w:eastAsia="宋体"/>
          <w:lang w:val="en-GB" w:eastAsia="zh-CN"/>
        </w:rPr>
        <w:t xml:space="preserve"> drift, improving material assimilation, and supporting disruption mitigation design for ITER and BEST. In addition, staggered injection using SPI and MGI with different timing sequences will be explored for runaway-electron suppression. These studies will provide important experimental input for the design of reliable disruption mitigation systems in future fusion reactors.</w:t>
      </w:r>
    </w:p>
    <w:p w14:paraId="247A5EB3" w14:textId="77777777" w:rsidR="00355F6E" w:rsidRPr="0062350C" w:rsidRDefault="00355F6E" w:rsidP="00E67676">
      <w:pPr>
        <w:tabs>
          <w:tab w:val="left" w:pos="567"/>
        </w:tabs>
        <w:spacing w:line="276" w:lineRule="auto"/>
        <w:ind w:firstLine="0"/>
        <w:rPr>
          <w:rFonts w:eastAsia="宋体"/>
          <w:b/>
          <w:bCs/>
          <w:szCs w:val="24"/>
          <w:lang w:eastAsia="zh-CN"/>
        </w:rPr>
      </w:pPr>
      <w:r w:rsidRPr="0062350C">
        <w:rPr>
          <w:rFonts w:eastAsia="宋体"/>
          <w:b/>
          <w:bCs/>
          <w:szCs w:val="24"/>
          <w:lang w:eastAsia="zh-CN"/>
        </w:rPr>
        <w:t>References</w:t>
      </w:r>
    </w:p>
    <w:p w14:paraId="57035DF5" w14:textId="71F30A8F" w:rsidR="00355F6E" w:rsidRPr="00961461" w:rsidRDefault="00355F6E" w:rsidP="00E67676">
      <w:pPr>
        <w:tabs>
          <w:tab w:val="left" w:pos="567"/>
        </w:tabs>
        <w:spacing w:line="276" w:lineRule="auto"/>
        <w:ind w:firstLine="0"/>
        <w:rPr>
          <w:rFonts w:eastAsia="宋体"/>
          <w:szCs w:val="24"/>
          <w:lang w:eastAsia="zh-CN"/>
        </w:rPr>
      </w:pPr>
      <w:r w:rsidRPr="00961461">
        <w:rPr>
          <w:rFonts w:eastAsia="宋体"/>
          <w:szCs w:val="24"/>
          <w:lang w:eastAsia="zh-CN"/>
        </w:rPr>
        <w:t>[</w:t>
      </w:r>
      <w:r w:rsidR="00C3769A">
        <w:rPr>
          <w:rFonts w:eastAsia="宋体" w:hint="eastAsia"/>
          <w:szCs w:val="24"/>
          <w:lang w:eastAsia="zh-CN"/>
        </w:rPr>
        <w:t>1</w:t>
      </w:r>
      <w:r w:rsidRPr="00961461">
        <w:rPr>
          <w:rFonts w:eastAsia="宋体"/>
          <w:szCs w:val="24"/>
          <w:lang w:eastAsia="zh-CN"/>
        </w:rPr>
        <w:t>] J.S. Yuan, et al., Fusion Eng. Des. 114551</w:t>
      </w:r>
      <w:r w:rsidR="00EE4E55">
        <w:rPr>
          <w:rFonts w:eastAsia="宋体" w:hint="eastAsia"/>
          <w:szCs w:val="24"/>
          <w:lang w:eastAsia="zh-CN"/>
        </w:rPr>
        <w:t xml:space="preserve">, </w:t>
      </w:r>
      <w:r w:rsidR="00EE4E55" w:rsidRPr="00961461">
        <w:rPr>
          <w:rFonts w:eastAsia="宋体"/>
          <w:szCs w:val="24"/>
          <w:lang w:eastAsia="zh-CN"/>
        </w:rPr>
        <w:t>205(2024)</w:t>
      </w:r>
    </w:p>
    <w:p w14:paraId="37385D71" w14:textId="57479D2C" w:rsidR="00355F6E" w:rsidRPr="00961461" w:rsidRDefault="00355F6E" w:rsidP="00E67676">
      <w:pPr>
        <w:tabs>
          <w:tab w:val="left" w:pos="567"/>
        </w:tabs>
        <w:spacing w:line="276" w:lineRule="auto"/>
        <w:ind w:firstLine="0"/>
        <w:rPr>
          <w:rFonts w:eastAsia="宋体"/>
          <w:szCs w:val="24"/>
          <w:lang w:eastAsia="zh-CN"/>
        </w:rPr>
      </w:pPr>
      <w:r w:rsidRPr="00961461">
        <w:rPr>
          <w:rFonts w:eastAsia="宋体"/>
          <w:szCs w:val="24"/>
          <w:lang w:eastAsia="zh-CN"/>
        </w:rPr>
        <w:t>[</w:t>
      </w:r>
      <w:r w:rsidR="00C3769A">
        <w:rPr>
          <w:rFonts w:eastAsia="宋体" w:hint="eastAsia"/>
          <w:szCs w:val="24"/>
          <w:lang w:eastAsia="zh-CN"/>
        </w:rPr>
        <w:t>2</w:t>
      </w:r>
      <w:r w:rsidRPr="00961461">
        <w:rPr>
          <w:rFonts w:eastAsia="宋体"/>
          <w:szCs w:val="24"/>
          <w:lang w:eastAsia="zh-CN"/>
        </w:rPr>
        <w:t>] J.S. Yuan, et al., Fusion Eng. Des. 113567</w:t>
      </w:r>
      <w:r w:rsidR="00C3769A" w:rsidRPr="00C3769A">
        <w:rPr>
          <w:rFonts w:eastAsia="宋体"/>
          <w:szCs w:val="24"/>
          <w:lang w:eastAsia="zh-CN"/>
        </w:rPr>
        <w:t xml:space="preserve"> </w:t>
      </w:r>
      <w:r w:rsidR="00C3769A" w:rsidRPr="00961461">
        <w:rPr>
          <w:rFonts w:eastAsia="宋体"/>
          <w:szCs w:val="24"/>
          <w:lang w:eastAsia="zh-CN"/>
        </w:rPr>
        <w:t>191(2023)</w:t>
      </w:r>
    </w:p>
    <w:p w14:paraId="08657EF0" w14:textId="295352B7" w:rsidR="00355F6E" w:rsidRPr="00961461" w:rsidRDefault="00355F6E" w:rsidP="00E67676">
      <w:pPr>
        <w:tabs>
          <w:tab w:val="left" w:pos="567"/>
        </w:tabs>
        <w:spacing w:line="276" w:lineRule="auto"/>
        <w:ind w:firstLine="0"/>
        <w:rPr>
          <w:rFonts w:eastAsia="宋体"/>
          <w:szCs w:val="24"/>
          <w:lang w:eastAsia="zh-CN"/>
        </w:rPr>
      </w:pPr>
      <w:r w:rsidRPr="00961461">
        <w:rPr>
          <w:rFonts w:eastAsia="宋体"/>
          <w:szCs w:val="24"/>
          <w:lang w:eastAsia="zh-CN"/>
        </w:rPr>
        <w:t>[</w:t>
      </w:r>
      <w:r w:rsidR="00C3769A">
        <w:rPr>
          <w:rFonts w:eastAsia="宋体" w:hint="eastAsia"/>
          <w:szCs w:val="24"/>
          <w:lang w:eastAsia="zh-CN"/>
        </w:rPr>
        <w:t>3</w:t>
      </w:r>
      <w:r w:rsidRPr="00961461">
        <w:rPr>
          <w:rFonts w:eastAsia="宋体"/>
          <w:szCs w:val="24"/>
          <w:lang w:eastAsia="zh-CN"/>
        </w:rPr>
        <w:t>] S.B. Zhao, et al., J. Fusion Energy 42 (2023) 49.</w:t>
      </w:r>
    </w:p>
    <w:p w14:paraId="38C36A38" w14:textId="14E9246C" w:rsidR="00355F6E" w:rsidRPr="00961461" w:rsidRDefault="00355F6E" w:rsidP="00E67676">
      <w:pPr>
        <w:tabs>
          <w:tab w:val="left" w:pos="567"/>
        </w:tabs>
        <w:spacing w:line="276" w:lineRule="auto"/>
        <w:ind w:firstLine="0"/>
        <w:rPr>
          <w:rFonts w:eastAsia="宋体"/>
          <w:szCs w:val="24"/>
          <w:lang w:eastAsia="zh-CN"/>
        </w:rPr>
      </w:pPr>
      <w:r w:rsidRPr="00961461">
        <w:rPr>
          <w:rFonts w:eastAsia="宋体"/>
          <w:szCs w:val="24"/>
          <w:lang w:eastAsia="zh-CN"/>
        </w:rPr>
        <w:t>[</w:t>
      </w:r>
      <w:r w:rsidR="00C3769A">
        <w:rPr>
          <w:rFonts w:eastAsia="宋体" w:hint="eastAsia"/>
          <w:szCs w:val="24"/>
          <w:lang w:eastAsia="zh-CN"/>
        </w:rPr>
        <w:t>4</w:t>
      </w:r>
      <w:r w:rsidRPr="00961461">
        <w:rPr>
          <w:rFonts w:eastAsia="宋体"/>
          <w:szCs w:val="24"/>
          <w:lang w:eastAsia="zh-CN"/>
        </w:rPr>
        <w:t>] H.D. Zhuang, et al., Plasma Sci. Technol. 15 (2013) 745-749.</w:t>
      </w:r>
    </w:p>
    <w:p w14:paraId="3BCEC68D" w14:textId="28FB05F1" w:rsidR="00355F6E" w:rsidRPr="00961461" w:rsidRDefault="00355F6E" w:rsidP="00E67676">
      <w:pPr>
        <w:tabs>
          <w:tab w:val="left" w:pos="567"/>
        </w:tabs>
        <w:spacing w:line="276" w:lineRule="auto"/>
        <w:ind w:firstLine="0"/>
        <w:rPr>
          <w:rFonts w:eastAsia="宋体"/>
          <w:szCs w:val="24"/>
          <w:lang w:eastAsia="zh-CN"/>
        </w:rPr>
      </w:pPr>
      <w:r w:rsidRPr="00961461">
        <w:rPr>
          <w:rFonts w:eastAsia="宋体"/>
          <w:szCs w:val="24"/>
          <w:lang w:eastAsia="zh-CN"/>
        </w:rPr>
        <w:t>[</w:t>
      </w:r>
      <w:r w:rsidR="00C3769A">
        <w:rPr>
          <w:rFonts w:eastAsia="宋体" w:hint="eastAsia"/>
          <w:szCs w:val="24"/>
          <w:lang w:eastAsia="zh-CN"/>
        </w:rPr>
        <w:t>5</w:t>
      </w:r>
      <w:r w:rsidRPr="00961461">
        <w:rPr>
          <w:rFonts w:eastAsia="宋体"/>
          <w:szCs w:val="24"/>
          <w:lang w:eastAsia="zh-CN"/>
        </w:rPr>
        <w:t xml:space="preserve">] H.D. Zhuang, et al., Rev. Sci. </w:t>
      </w:r>
      <w:proofErr w:type="spellStart"/>
      <w:r w:rsidRPr="00961461">
        <w:rPr>
          <w:rFonts w:eastAsia="宋体"/>
          <w:szCs w:val="24"/>
          <w:lang w:eastAsia="zh-CN"/>
        </w:rPr>
        <w:t>Instrum</w:t>
      </w:r>
      <w:proofErr w:type="spellEnd"/>
      <w:r w:rsidRPr="00961461">
        <w:rPr>
          <w:rFonts w:eastAsia="宋体"/>
          <w:szCs w:val="24"/>
          <w:lang w:eastAsia="zh-CN"/>
        </w:rPr>
        <w:t>. 86 (2019) 053502.</w:t>
      </w:r>
    </w:p>
    <w:p w14:paraId="06A3F1C2" w14:textId="76FC282D" w:rsidR="00355F6E" w:rsidRPr="00961461" w:rsidRDefault="00355F6E" w:rsidP="00E67676">
      <w:pPr>
        <w:tabs>
          <w:tab w:val="left" w:pos="567"/>
        </w:tabs>
        <w:spacing w:line="276" w:lineRule="auto"/>
        <w:ind w:firstLine="0"/>
        <w:rPr>
          <w:rFonts w:eastAsia="宋体"/>
          <w:szCs w:val="24"/>
          <w:lang w:eastAsia="zh-CN"/>
        </w:rPr>
      </w:pPr>
      <w:r w:rsidRPr="00961461">
        <w:rPr>
          <w:rFonts w:eastAsia="宋体"/>
          <w:szCs w:val="24"/>
          <w:lang w:eastAsia="zh-CN"/>
        </w:rPr>
        <w:t>[</w:t>
      </w:r>
      <w:r w:rsidR="00C3769A">
        <w:rPr>
          <w:rFonts w:eastAsia="宋体" w:hint="eastAsia"/>
          <w:szCs w:val="24"/>
          <w:lang w:eastAsia="zh-CN"/>
        </w:rPr>
        <w:t>6</w:t>
      </w:r>
      <w:r w:rsidRPr="00961461">
        <w:rPr>
          <w:rFonts w:eastAsia="宋体"/>
          <w:szCs w:val="24"/>
          <w:lang w:eastAsia="zh-CN"/>
        </w:rPr>
        <w:t xml:space="preserve">] J.S. Yuan, et al., </w:t>
      </w:r>
      <w:proofErr w:type="spellStart"/>
      <w:r w:rsidRPr="00961461">
        <w:rPr>
          <w:rFonts w:eastAsia="宋体"/>
          <w:szCs w:val="24"/>
          <w:lang w:eastAsia="zh-CN"/>
        </w:rPr>
        <w:t>Nucl</w:t>
      </w:r>
      <w:proofErr w:type="spellEnd"/>
      <w:r w:rsidRPr="00961461">
        <w:rPr>
          <w:rFonts w:eastAsia="宋体"/>
          <w:szCs w:val="24"/>
          <w:lang w:eastAsia="zh-CN"/>
        </w:rPr>
        <w:t>. Fusion 63 (2023) 106008.</w:t>
      </w:r>
    </w:p>
    <w:p w14:paraId="5A7E4D7B" w14:textId="4B1CB6F4" w:rsidR="00355F6E" w:rsidRPr="00961461" w:rsidRDefault="00355F6E" w:rsidP="00E67676">
      <w:pPr>
        <w:tabs>
          <w:tab w:val="left" w:pos="567"/>
        </w:tabs>
        <w:spacing w:line="276" w:lineRule="auto"/>
        <w:ind w:firstLine="0"/>
        <w:rPr>
          <w:rFonts w:eastAsia="宋体"/>
          <w:szCs w:val="24"/>
          <w:lang w:eastAsia="zh-CN"/>
        </w:rPr>
      </w:pPr>
      <w:r w:rsidRPr="00961461">
        <w:rPr>
          <w:rFonts w:eastAsia="宋体"/>
          <w:szCs w:val="24"/>
          <w:lang w:eastAsia="zh-CN"/>
        </w:rPr>
        <w:t>[</w:t>
      </w:r>
      <w:r w:rsidR="00C3769A">
        <w:rPr>
          <w:rFonts w:eastAsia="宋体" w:hint="eastAsia"/>
          <w:szCs w:val="24"/>
          <w:lang w:eastAsia="zh-CN"/>
        </w:rPr>
        <w:t>7</w:t>
      </w:r>
      <w:r w:rsidRPr="00961461">
        <w:rPr>
          <w:rFonts w:eastAsia="宋体"/>
          <w:szCs w:val="24"/>
          <w:lang w:eastAsia="zh-CN"/>
        </w:rPr>
        <w:t xml:space="preserve">] S.B. Zhao, et al., </w:t>
      </w:r>
      <w:proofErr w:type="spellStart"/>
      <w:r w:rsidRPr="00961461">
        <w:rPr>
          <w:rFonts w:eastAsia="宋体"/>
          <w:szCs w:val="24"/>
          <w:lang w:eastAsia="zh-CN"/>
        </w:rPr>
        <w:t>Nucl</w:t>
      </w:r>
      <w:proofErr w:type="spellEnd"/>
      <w:r w:rsidRPr="00961461">
        <w:rPr>
          <w:rFonts w:eastAsia="宋体"/>
          <w:szCs w:val="24"/>
          <w:lang w:eastAsia="zh-CN"/>
        </w:rPr>
        <w:t>. Fusion 65 (2025) 016048.</w:t>
      </w:r>
    </w:p>
    <w:p w14:paraId="3A6F55C1" w14:textId="1E8BEE49" w:rsidR="00355F6E" w:rsidRPr="00961461" w:rsidRDefault="00355F6E" w:rsidP="00E67676">
      <w:pPr>
        <w:tabs>
          <w:tab w:val="left" w:pos="567"/>
        </w:tabs>
        <w:spacing w:line="276" w:lineRule="auto"/>
        <w:ind w:firstLine="0"/>
        <w:rPr>
          <w:rFonts w:eastAsia="宋体"/>
          <w:szCs w:val="24"/>
          <w:lang w:eastAsia="zh-CN"/>
        </w:rPr>
      </w:pPr>
      <w:r w:rsidRPr="00961461">
        <w:rPr>
          <w:rFonts w:eastAsia="宋体"/>
          <w:szCs w:val="24"/>
          <w:lang w:eastAsia="zh-CN"/>
        </w:rPr>
        <w:t>[</w:t>
      </w:r>
      <w:r w:rsidR="00C3769A">
        <w:rPr>
          <w:rFonts w:eastAsia="宋体" w:hint="eastAsia"/>
          <w:szCs w:val="24"/>
          <w:lang w:eastAsia="zh-CN"/>
        </w:rPr>
        <w:t>8</w:t>
      </w:r>
      <w:r w:rsidRPr="00961461">
        <w:rPr>
          <w:rFonts w:eastAsia="宋体"/>
          <w:szCs w:val="24"/>
          <w:lang w:eastAsia="zh-CN"/>
        </w:rPr>
        <w:t xml:space="preserve">] L. Li, et al., </w:t>
      </w:r>
      <w:proofErr w:type="spellStart"/>
      <w:r w:rsidRPr="00961461">
        <w:rPr>
          <w:rFonts w:eastAsia="宋体"/>
          <w:szCs w:val="24"/>
          <w:lang w:eastAsia="zh-CN"/>
        </w:rPr>
        <w:t>Nucl</w:t>
      </w:r>
      <w:proofErr w:type="spellEnd"/>
      <w:r w:rsidRPr="00961461">
        <w:rPr>
          <w:rFonts w:eastAsia="宋体"/>
          <w:szCs w:val="24"/>
          <w:lang w:eastAsia="zh-CN"/>
        </w:rPr>
        <w:t>. Fusion 65 (2025) 086012.</w:t>
      </w:r>
    </w:p>
    <w:p w14:paraId="340823D4" w14:textId="77777777" w:rsidR="00355F6E" w:rsidRPr="00961461" w:rsidRDefault="00355F6E" w:rsidP="00E67676">
      <w:pPr>
        <w:tabs>
          <w:tab w:val="left" w:pos="567"/>
        </w:tabs>
        <w:ind w:left="0" w:firstLine="0"/>
        <w:rPr>
          <w:rFonts w:eastAsia="宋体"/>
          <w:szCs w:val="24"/>
          <w:lang w:eastAsia="zh-CN"/>
        </w:rPr>
      </w:pPr>
    </w:p>
    <w:sectPr w:rsidR="00355F6E" w:rsidRPr="00961461">
      <w:type w:val="continuous"/>
      <w:pgSz w:w="11910" w:h="16840"/>
      <w:pgMar w:top="1280" w:right="130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C90FC" w14:textId="77777777" w:rsidR="00B85678" w:rsidRDefault="00B85678" w:rsidP="00355F6E">
      <w:r>
        <w:separator/>
      </w:r>
    </w:p>
  </w:endnote>
  <w:endnote w:type="continuationSeparator" w:id="0">
    <w:p w14:paraId="4EE61DEC" w14:textId="77777777" w:rsidR="00B85678" w:rsidRDefault="00B85678" w:rsidP="00355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72DB4" w14:textId="77777777" w:rsidR="00B85678" w:rsidRDefault="00B85678" w:rsidP="00355F6E">
      <w:r>
        <w:separator/>
      </w:r>
    </w:p>
  </w:footnote>
  <w:footnote w:type="continuationSeparator" w:id="0">
    <w:p w14:paraId="0B3D0286" w14:textId="77777777" w:rsidR="00B85678" w:rsidRDefault="00B85678" w:rsidP="00355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E6A88"/>
    <w:multiLevelType w:val="hybridMultilevel"/>
    <w:tmpl w:val="85B85004"/>
    <w:lvl w:ilvl="0" w:tplc="1884E388">
      <w:start w:val="1"/>
      <w:numFmt w:val="decimal"/>
      <w:lvlText w:val="[%1]"/>
      <w:lvlJc w:val="left"/>
      <w:pPr>
        <w:ind w:left="566" w:hanging="350"/>
      </w:pPr>
      <w:rPr>
        <w:rFonts w:ascii="Times New Roman" w:eastAsia="Times New Roman" w:hAnsi="Times New Roman" w:cs="Times New Roman" w:hint="default"/>
        <w:w w:val="99"/>
        <w:sz w:val="20"/>
        <w:szCs w:val="20"/>
        <w:lang w:val="en-US" w:eastAsia="en-US" w:bidi="ar-SA"/>
      </w:rPr>
    </w:lvl>
    <w:lvl w:ilvl="1" w:tplc="76AE6A7E">
      <w:numFmt w:val="bullet"/>
      <w:lvlText w:val="•"/>
      <w:lvlJc w:val="left"/>
      <w:pPr>
        <w:ind w:left="1434" w:hanging="350"/>
      </w:pPr>
      <w:rPr>
        <w:rFonts w:hint="default"/>
        <w:lang w:val="en-US" w:eastAsia="en-US" w:bidi="ar-SA"/>
      </w:rPr>
    </w:lvl>
    <w:lvl w:ilvl="2" w:tplc="BAE208E6">
      <w:numFmt w:val="bullet"/>
      <w:lvlText w:val="•"/>
      <w:lvlJc w:val="left"/>
      <w:pPr>
        <w:ind w:left="2309" w:hanging="350"/>
      </w:pPr>
      <w:rPr>
        <w:rFonts w:hint="default"/>
        <w:lang w:val="en-US" w:eastAsia="en-US" w:bidi="ar-SA"/>
      </w:rPr>
    </w:lvl>
    <w:lvl w:ilvl="3" w:tplc="DD908636">
      <w:numFmt w:val="bullet"/>
      <w:lvlText w:val="•"/>
      <w:lvlJc w:val="left"/>
      <w:pPr>
        <w:ind w:left="3183" w:hanging="350"/>
      </w:pPr>
      <w:rPr>
        <w:rFonts w:hint="default"/>
        <w:lang w:val="en-US" w:eastAsia="en-US" w:bidi="ar-SA"/>
      </w:rPr>
    </w:lvl>
    <w:lvl w:ilvl="4" w:tplc="2954DCB8">
      <w:numFmt w:val="bullet"/>
      <w:lvlText w:val="•"/>
      <w:lvlJc w:val="left"/>
      <w:pPr>
        <w:ind w:left="4058" w:hanging="350"/>
      </w:pPr>
      <w:rPr>
        <w:rFonts w:hint="default"/>
        <w:lang w:val="en-US" w:eastAsia="en-US" w:bidi="ar-SA"/>
      </w:rPr>
    </w:lvl>
    <w:lvl w:ilvl="5" w:tplc="2A846878">
      <w:numFmt w:val="bullet"/>
      <w:lvlText w:val="•"/>
      <w:lvlJc w:val="left"/>
      <w:pPr>
        <w:ind w:left="4932" w:hanging="350"/>
      </w:pPr>
      <w:rPr>
        <w:rFonts w:hint="default"/>
        <w:lang w:val="en-US" w:eastAsia="en-US" w:bidi="ar-SA"/>
      </w:rPr>
    </w:lvl>
    <w:lvl w:ilvl="6" w:tplc="55CA8056">
      <w:numFmt w:val="bullet"/>
      <w:lvlText w:val="•"/>
      <w:lvlJc w:val="left"/>
      <w:pPr>
        <w:ind w:left="5807" w:hanging="350"/>
      </w:pPr>
      <w:rPr>
        <w:rFonts w:hint="default"/>
        <w:lang w:val="en-US" w:eastAsia="en-US" w:bidi="ar-SA"/>
      </w:rPr>
    </w:lvl>
    <w:lvl w:ilvl="7" w:tplc="DE4490BE">
      <w:numFmt w:val="bullet"/>
      <w:lvlText w:val="•"/>
      <w:lvlJc w:val="left"/>
      <w:pPr>
        <w:ind w:left="6681" w:hanging="350"/>
      </w:pPr>
      <w:rPr>
        <w:rFonts w:hint="default"/>
        <w:lang w:val="en-US" w:eastAsia="en-US" w:bidi="ar-SA"/>
      </w:rPr>
    </w:lvl>
    <w:lvl w:ilvl="8" w:tplc="3BAA5022">
      <w:numFmt w:val="bullet"/>
      <w:lvlText w:val="•"/>
      <w:lvlJc w:val="left"/>
      <w:pPr>
        <w:ind w:left="7556" w:hanging="350"/>
      </w:pPr>
      <w:rPr>
        <w:rFonts w:hint="default"/>
        <w:lang w:val="en-US" w:eastAsia="en-US" w:bidi="ar-SA"/>
      </w:rPr>
    </w:lvl>
  </w:abstractNum>
  <w:num w:numId="1" w16cid:durableId="2045977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7F0"/>
    <w:rsid w:val="0000491F"/>
    <w:rsid w:val="00014CAF"/>
    <w:rsid w:val="000277F0"/>
    <w:rsid w:val="00034D7E"/>
    <w:rsid w:val="0005132C"/>
    <w:rsid w:val="0006719E"/>
    <w:rsid w:val="00081C58"/>
    <w:rsid w:val="000A5CC3"/>
    <w:rsid w:val="000E5019"/>
    <w:rsid w:val="000F427E"/>
    <w:rsid w:val="000F701F"/>
    <w:rsid w:val="00106F46"/>
    <w:rsid w:val="001244E5"/>
    <w:rsid w:val="00144473"/>
    <w:rsid w:val="001524BB"/>
    <w:rsid w:val="00156440"/>
    <w:rsid w:val="00181582"/>
    <w:rsid w:val="00187ACC"/>
    <w:rsid w:val="001B452B"/>
    <w:rsid w:val="001B6E98"/>
    <w:rsid w:val="001D50CA"/>
    <w:rsid w:val="002138AC"/>
    <w:rsid w:val="002268B6"/>
    <w:rsid w:val="00230A7B"/>
    <w:rsid w:val="00240B75"/>
    <w:rsid w:val="00282438"/>
    <w:rsid w:val="002A49E3"/>
    <w:rsid w:val="002C7E26"/>
    <w:rsid w:val="002D2D51"/>
    <w:rsid w:val="003008F3"/>
    <w:rsid w:val="003023D8"/>
    <w:rsid w:val="00302C15"/>
    <w:rsid w:val="00332688"/>
    <w:rsid w:val="00355F6E"/>
    <w:rsid w:val="003B0176"/>
    <w:rsid w:val="003F4B52"/>
    <w:rsid w:val="003F64F3"/>
    <w:rsid w:val="004114FD"/>
    <w:rsid w:val="00420098"/>
    <w:rsid w:val="00441790"/>
    <w:rsid w:val="0044748E"/>
    <w:rsid w:val="004E48B0"/>
    <w:rsid w:val="00513BE3"/>
    <w:rsid w:val="005235EC"/>
    <w:rsid w:val="00552946"/>
    <w:rsid w:val="005B4F56"/>
    <w:rsid w:val="005C103B"/>
    <w:rsid w:val="005D5550"/>
    <w:rsid w:val="0062350C"/>
    <w:rsid w:val="00647B24"/>
    <w:rsid w:val="006508B3"/>
    <w:rsid w:val="00705ADB"/>
    <w:rsid w:val="007273E3"/>
    <w:rsid w:val="00760FEE"/>
    <w:rsid w:val="00791DFD"/>
    <w:rsid w:val="00804A31"/>
    <w:rsid w:val="008058F2"/>
    <w:rsid w:val="00831343"/>
    <w:rsid w:val="00851EDE"/>
    <w:rsid w:val="008B33A2"/>
    <w:rsid w:val="00913DA6"/>
    <w:rsid w:val="009336AB"/>
    <w:rsid w:val="009409FC"/>
    <w:rsid w:val="0095432A"/>
    <w:rsid w:val="00961461"/>
    <w:rsid w:val="00965975"/>
    <w:rsid w:val="00984D35"/>
    <w:rsid w:val="00986DEF"/>
    <w:rsid w:val="00A0453C"/>
    <w:rsid w:val="00AB206A"/>
    <w:rsid w:val="00AF78F4"/>
    <w:rsid w:val="00B0292E"/>
    <w:rsid w:val="00B045F9"/>
    <w:rsid w:val="00B10E98"/>
    <w:rsid w:val="00B32E97"/>
    <w:rsid w:val="00B504FF"/>
    <w:rsid w:val="00B83ABA"/>
    <w:rsid w:val="00B85678"/>
    <w:rsid w:val="00B91EC1"/>
    <w:rsid w:val="00BC041C"/>
    <w:rsid w:val="00BD770B"/>
    <w:rsid w:val="00C31A94"/>
    <w:rsid w:val="00C3769A"/>
    <w:rsid w:val="00C454DD"/>
    <w:rsid w:val="00C94A50"/>
    <w:rsid w:val="00CA3666"/>
    <w:rsid w:val="00CB62E7"/>
    <w:rsid w:val="00CC0E19"/>
    <w:rsid w:val="00CD4C2D"/>
    <w:rsid w:val="00D036ED"/>
    <w:rsid w:val="00D23B30"/>
    <w:rsid w:val="00D33A35"/>
    <w:rsid w:val="00D51A3C"/>
    <w:rsid w:val="00D96B7B"/>
    <w:rsid w:val="00DC758F"/>
    <w:rsid w:val="00DC7B5F"/>
    <w:rsid w:val="00DF1CA9"/>
    <w:rsid w:val="00E2068F"/>
    <w:rsid w:val="00E2485B"/>
    <w:rsid w:val="00E553AF"/>
    <w:rsid w:val="00E67676"/>
    <w:rsid w:val="00E67C86"/>
    <w:rsid w:val="00E97322"/>
    <w:rsid w:val="00EE2E86"/>
    <w:rsid w:val="00EE4E55"/>
    <w:rsid w:val="00F0121B"/>
    <w:rsid w:val="00F45B4C"/>
    <w:rsid w:val="00F55440"/>
    <w:rsid w:val="00FA6A5F"/>
    <w:rsid w:val="00FE0C39"/>
    <w:rsid w:val="21599875"/>
    <w:rsid w:val="2779948A"/>
    <w:rsid w:val="3D4ADC2D"/>
    <w:rsid w:val="79B8C53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F8A70"/>
  <w15:docId w15:val="{0DC931DD-D9BF-447A-94CC-D4C492DA9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宋体"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1790"/>
    <w:pPr>
      <w:spacing w:before="82" w:line="358" w:lineRule="auto"/>
      <w:ind w:left="119" w:right="113" w:firstLine="232"/>
      <w:jc w:val="both"/>
    </w:pPr>
    <w:rPr>
      <w:rFonts w:ascii="Times New Roman" w:eastAsia="Times New Roman" w:hAnsi="Times New Roman" w:cs="Times New Roman"/>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7" w:right="115" w:firstLine="234"/>
    </w:pPr>
    <w:rPr>
      <w:szCs w:val="24"/>
    </w:rPr>
  </w:style>
  <w:style w:type="paragraph" w:styleId="a4">
    <w:name w:val="Title"/>
    <w:basedOn w:val="a"/>
    <w:uiPriority w:val="10"/>
    <w:qFormat/>
    <w:pPr>
      <w:spacing w:before="97"/>
      <w:ind w:left="271" w:right="271"/>
      <w:jc w:val="center"/>
    </w:pPr>
    <w:rPr>
      <w:b/>
      <w:bCs/>
      <w:sz w:val="28"/>
      <w:szCs w:val="28"/>
    </w:rPr>
  </w:style>
  <w:style w:type="paragraph" w:styleId="a5">
    <w:name w:val="List Paragraph"/>
    <w:basedOn w:val="a"/>
    <w:uiPriority w:val="1"/>
    <w:qFormat/>
    <w:pPr>
      <w:spacing w:before="112"/>
      <w:ind w:left="566" w:hanging="351"/>
    </w:pPr>
  </w:style>
  <w:style w:type="paragraph" w:customStyle="1" w:styleId="TableParagraph">
    <w:name w:val="Table Paragraph"/>
    <w:basedOn w:val="a"/>
    <w:uiPriority w:val="1"/>
    <w:qFormat/>
  </w:style>
  <w:style w:type="character" w:styleId="a6">
    <w:name w:val="Placeholder Text"/>
    <w:basedOn w:val="a0"/>
    <w:uiPriority w:val="99"/>
    <w:semiHidden/>
    <w:rsid w:val="002A49E3"/>
    <w:rPr>
      <w:color w:val="666666"/>
    </w:rPr>
  </w:style>
  <w:style w:type="paragraph" w:styleId="a7">
    <w:name w:val="header"/>
    <w:basedOn w:val="a"/>
    <w:link w:val="a8"/>
    <w:uiPriority w:val="99"/>
    <w:unhideWhenUsed/>
    <w:rsid w:val="00355F6E"/>
    <w:pPr>
      <w:tabs>
        <w:tab w:val="center" w:pos="4153"/>
        <w:tab w:val="right" w:pos="8306"/>
      </w:tabs>
      <w:snapToGrid w:val="0"/>
      <w:jc w:val="center"/>
    </w:pPr>
    <w:rPr>
      <w:sz w:val="18"/>
      <w:szCs w:val="18"/>
    </w:rPr>
  </w:style>
  <w:style w:type="character" w:customStyle="1" w:styleId="a8">
    <w:name w:val="页眉 字符"/>
    <w:basedOn w:val="a0"/>
    <w:link w:val="a7"/>
    <w:uiPriority w:val="99"/>
    <w:rsid w:val="00355F6E"/>
    <w:rPr>
      <w:rFonts w:ascii="Times New Roman" w:eastAsia="Times New Roman" w:hAnsi="Times New Roman" w:cs="Times New Roman"/>
      <w:sz w:val="18"/>
      <w:szCs w:val="18"/>
    </w:rPr>
  </w:style>
  <w:style w:type="paragraph" w:styleId="a9">
    <w:name w:val="footer"/>
    <w:basedOn w:val="a"/>
    <w:link w:val="aa"/>
    <w:uiPriority w:val="99"/>
    <w:unhideWhenUsed/>
    <w:rsid w:val="00355F6E"/>
    <w:pPr>
      <w:tabs>
        <w:tab w:val="center" w:pos="4153"/>
        <w:tab w:val="right" w:pos="8306"/>
      </w:tabs>
      <w:snapToGrid w:val="0"/>
    </w:pPr>
    <w:rPr>
      <w:sz w:val="18"/>
      <w:szCs w:val="18"/>
    </w:rPr>
  </w:style>
  <w:style w:type="character" w:customStyle="1" w:styleId="aa">
    <w:name w:val="页脚 字符"/>
    <w:basedOn w:val="a0"/>
    <w:link w:val="a9"/>
    <w:uiPriority w:val="99"/>
    <w:rsid w:val="00355F6E"/>
    <w:rPr>
      <w:rFonts w:ascii="Times New Roman" w:eastAsia="Times New Roman" w:hAnsi="Times New Roman" w:cs="Times New Roman"/>
      <w:sz w:val="18"/>
      <w:szCs w:val="18"/>
    </w:rPr>
  </w:style>
  <w:style w:type="table" w:styleId="ab">
    <w:name w:val="Table Grid"/>
    <w:basedOn w:val="a1"/>
    <w:uiPriority w:val="39"/>
    <w:rsid w:val="00933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02CDD6E686034D9B004F729A036078" ma:contentTypeVersion="14" ma:contentTypeDescription="Create a new document." ma:contentTypeScope="" ma:versionID="3d398bc4690103c03bb9c7296740d5be">
  <xsd:schema xmlns:xsd="http://www.w3.org/2001/XMLSchema" xmlns:xs="http://www.w3.org/2001/XMLSchema" xmlns:p="http://schemas.microsoft.com/office/2006/metadata/properties" xmlns:ns2="3ce1a633-8b0f-4f71-bdc2-1955b9f45c93" xmlns:ns3="0694f607-c9da-4e61-90d7-59bc4ffc1d08" targetNamespace="http://schemas.microsoft.com/office/2006/metadata/properties" ma:root="true" ma:fieldsID="3d9dd6f69027502eece29aa4b8b30915" ns2:_="" ns3:_="">
    <xsd:import namespace="3ce1a633-8b0f-4f71-bdc2-1955b9f45c93"/>
    <xsd:import namespace="0694f607-c9da-4e61-90d7-59bc4ffc1d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e1a633-8b0f-4f71-bdc2-1955b9f45c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7a82321-f9b7-40e5-b493-b165275bbc9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94f607-c9da-4e61-90d7-59bc4ffc1d0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60bfc25-7b0b-4e78-843a-bce7cfe42968}" ma:internalName="TaxCatchAll" ma:showField="CatchAllData" ma:web="0694f607-c9da-4e61-90d7-59bc4ffc1d0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9540ED-63D7-48D3-9958-04666456B3C8}">
  <ds:schemaRefs>
    <ds:schemaRef ds:uri="http://schemas.microsoft.com/sharepoint/v3/contenttype/forms"/>
  </ds:schemaRefs>
</ds:datastoreItem>
</file>

<file path=customXml/itemProps2.xml><?xml version="1.0" encoding="utf-8"?>
<ds:datastoreItem xmlns:ds="http://schemas.openxmlformats.org/officeDocument/2006/customXml" ds:itemID="{DB8B4A4E-EEAF-4F44-A179-C5F0F2CA3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e1a633-8b0f-4f71-bdc2-1955b9f45c93"/>
    <ds:schemaRef ds:uri="0694f607-c9da-4e61-90d7-59bc4ffc1d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4</Pages>
  <Words>1565</Words>
  <Characters>8925</Characters>
  <Application>Microsoft Office Word</Application>
  <DocSecurity>0</DocSecurity>
  <Lines>74</Lines>
  <Paragraphs>20</Paragraphs>
  <ScaleCrop>false</ScaleCrop>
  <Company/>
  <LinksUpToDate>false</LinksUpToDate>
  <CharactersWithSpaces>10470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McClements, Ken G</dc:creator>
  <cp:lastModifiedBy>Yuan Samuel</cp:lastModifiedBy>
  <cp:revision>7</cp:revision>
  <dcterms:created xsi:type="dcterms:W3CDTF">2026-06-24T14:55:00Z</dcterms:created>
  <dcterms:modified xsi:type="dcterms:W3CDTF">2026-06-24T17:22:00Z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2024-10-09T00:00:00Z</vt:filetime>
  </property>
  <property fmtid="{D5CDD505-2E9C-101B-9397-08002B2CF9AE}" pid="3" name="Creator">
    <vt:lpwstr>TeX</vt:lpwstr>
  </property>
  <property fmtid="{D5CDD505-2E9C-101B-9397-08002B2CF9AE}" pid="4" name="LastSaved">
    <vt:filetime>2024-10-15T00:00:00Z</vt:filetime>
  </property>
  <property fmtid="{D5CDD505-2E9C-101B-9397-08002B2CF9AE}" pid="5" name="MSIP_Label_22759de7-3255-46b5-8dfe-736652f9c6c1_Enabled">
    <vt:lpwstr>true</vt:lpwstr>
  </property>
  <property fmtid="{D5CDD505-2E9C-101B-9397-08002B2CF9AE}" pid="6" name="MSIP_Label_22759de7-3255-46b5-8dfe-736652f9c6c1_SetDate">
    <vt:lpwstr>2026-06-08T10:00:50Z</vt:lpwstr>
  </property>
  <property fmtid="{D5CDD505-2E9C-101B-9397-08002B2CF9AE}" pid="7" name="MSIP_Label_22759de7-3255-46b5-8dfe-736652f9c6c1_Method">
    <vt:lpwstr>Standard</vt:lpwstr>
  </property>
  <property fmtid="{D5CDD505-2E9C-101B-9397-08002B2CF9AE}" pid="8" name="MSIP_Label_22759de7-3255-46b5-8dfe-736652f9c6c1_Name">
    <vt:lpwstr>22759de7-3255-46b5-8dfe-736652f9c6c1</vt:lpwstr>
  </property>
  <property fmtid="{D5CDD505-2E9C-101B-9397-08002B2CF9AE}" pid="9" name="MSIP_Label_22759de7-3255-46b5-8dfe-736652f9c6c1_SiteId">
    <vt:lpwstr>c6ac664b-ae27-4d5d-b4e6-bb5717196fc7</vt:lpwstr>
  </property>
  <property fmtid="{D5CDD505-2E9C-101B-9397-08002B2CF9AE}" pid="10" name="MSIP_Label_22759de7-3255-46b5-8dfe-736652f9c6c1_ActionId">
    <vt:lpwstr>c9c3e40f-921a-4021-a82a-00b56212df99</vt:lpwstr>
  </property>
  <property fmtid="{D5CDD505-2E9C-101B-9397-08002B2CF9AE}" pid="11" name="MSIP_Label_22759de7-3255-46b5-8dfe-736652f9c6c1_ContentBits">
    <vt:lpwstr>0</vt:lpwstr>
  </property>
  <property fmtid="{D5CDD505-2E9C-101B-9397-08002B2CF9AE}" pid="12" name="MSIP_Label_22759de7-3255-46b5-8dfe-736652f9c6c1_Tag">
    <vt:lpwstr>10, 3, 0, 2</vt:lpwstr>
  </property>
</Properties>
</file>