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9DD0" w14:textId="77777777" w:rsidR="007A6141" w:rsidRPr="00464E81" w:rsidRDefault="00000000" w:rsidP="00D042A8">
      <w:pPr>
        <w:spacing w:before="380" w:after="14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heading_2"/>
      <w:r w:rsidRPr="00464E81">
        <w:rPr>
          <w:rFonts w:ascii="Times New Roman" w:eastAsia="等线" w:hAnsi="Times New Roman" w:cs="Times New Roman"/>
          <w:b/>
          <w:sz w:val="28"/>
          <w:szCs w:val="28"/>
        </w:rPr>
        <w:t>Development of High-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b/>
          <w:sz w:val="28"/>
          <w:szCs w:val="28"/>
        </w:rPr>
        <w:t xml:space="preserve"> Scenarios towards High-Q on EAST in Support of ITER Steady-state Operation</w:t>
      </w:r>
      <w:bookmarkEnd w:id="0"/>
    </w:p>
    <w:p w14:paraId="3FDC17A4" w14:textId="1E222217" w:rsidR="00464E81" w:rsidRDefault="00000000" w:rsidP="00D042A8">
      <w:pPr>
        <w:spacing w:before="120" w:after="120" w:line="360" w:lineRule="auto"/>
        <w:jc w:val="center"/>
        <w:rPr>
          <w:rFonts w:ascii="Times New Roman" w:eastAsia="等线" w:hAnsi="Times New Roman" w:cs="Times New Roman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t>X. Gong</w:t>
      </w:r>
      <w:bookmarkStart w:id="1" w:name="OLE_LINK2"/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Pr="00464E81">
        <w:rPr>
          <w:rFonts w:ascii="Times New Roman" w:eastAsia="等线" w:hAnsi="Times New Roman" w:cs="Times New Roman"/>
          <w:sz w:val="24"/>
        </w:rPr>
        <w:t>,</w:t>
      </w:r>
      <w:bookmarkEnd w:id="1"/>
      <w:r w:rsidRPr="00464E81">
        <w:rPr>
          <w:rFonts w:ascii="Times New Roman" w:eastAsia="等线" w:hAnsi="Times New Roman" w:cs="Times New Roman"/>
          <w:sz w:val="24"/>
        </w:rPr>
        <w:t xml:space="preserve"> J. Huang</w:t>
      </w:r>
      <w:bookmarkStart w:id="2" w:name="OLE_LINK3"/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bookmarkEnd w:id="2"/>
      <w:r w:rsidR="00464E81" w:rsidRPr="00464E81">
        <w:rPr>
          <w:rFonts w:ascii="Times New Roman" w:eastAsia="等线" w:hAnsi="Times New Roman" w:cs="Times New Roman"/>
          <w:sz w:val="24"/>
        </w:rPr>
        <w:t>,</w:t>
      </w:r>
      <w:r w:rsidR="00464E81" w:rsidRPr="00464E81">
        <w:rPr>
          <w:rFonts w:ascii="Times New Roman" w:eastAsia="Arial" w:hAnsi="Times New Roman" w:cs="Times New Roman"/>
          <w:color w:val="000000"/>
          <w:spacing w:val="-15"/>
          <w:sz w:val="24"/>
        </w:rPr>
        <w:t xml:space="preserve"> </w:t>
      </w:r>
      <w:r w:rsidR="00464E81" w:rsidRPr="00464E81">
        <w:rPr>
          <w:rFonts w:ascii="Times New Roman" w:eastAsia="等线" w:hAnsi="Times New Roman" w:cs="Times New Roman"/>
          <w:sz w:val="24"/>
        </w:rPr>
        <w:t>B. Zhang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X. Zhang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 xml:space="preserve"> </w:t>
      </w:r>
      <w:r w:rsidR="00464E81" w:rsidRPr="00464E81">
        <w:rPr>
          <w:rFonts w:ascii="Times New Roman" w:eastAsia="等线" w:hAnsi="Times New Roman" w:cs="Times New Roman"/>
          <w:sz w:val="24"/>
        </w:rPr>
        <w:t>M. Li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W. Liu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C. Pan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Y. Hu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J. Chen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T. Jia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N. Yan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J. Qian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Y.</w:t>
      </w:r>
      <w:r w:rsidR="00A1182F">
        <w:rPr>
          <w:rFonts w:ascii="Times New Roman" w:eastAsia="等线" w:hAnsi="Times New Roman" w:cs="Times New Roman" w:hint="eastAsia"/>
          <w:sz w:val="24"/>
        </w:rPr>
        <w:t xml:space="preserve"> </w:t>
      </w:r>
      <w:r w:rsidR="00464E81" w:rsidRPr="00464E81">
        <w:rPr>
          <w:rFonts w:ascii="Times New Roman" w:eastAsia="等线" w:hAnsi="Times New Roman" w:cs="Times New Roman"/>
          <w:sz w:val="24"/>
        </w:rPr>
        <w:t>Song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B. Wan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>, J. Li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  <w:r w:rsidR="00464E81" w:rsidRPr="00464E81">
        <w:rPr>
          <w:rFonts w:ascii="Times New Roman" w:eastAsia="等线" w:hAnsi="Times New Roman" w:cs="Times New Roman"/>
          <w:sz w:val="24"/>
        </w:rPr>
        <w:t xml:space="preserve"> and </w:t>
      </w:r>
      <w:r w:rsidR="00B40392">
        <w:rPr>
          <w:rFonts w:ascii="Times New Roman" w:eastAsia="等线" w:hAnsi="Times New Roman" w:cs="Times New Roman" w:hint="eastAsia"/>
          <w:sz w:val="24"/>
        </w:rPr>
        <w:t xml:space="preserve">the </w:t>
      </w:r>
      <w:r w:rsidR="00464E81" w:rsidRPr="00464E81">
        <w:rPr>
          <w:rFonts w:ascii="Times New Roman" w:eastAsia="等线" w:hAnsi="Times New Roman" w:cs="Times New Roman"/>
          <w:sz w:val="24"/>
        </w:rPr>
        <w:t>EAST Team</w:t>
      </w:r>
      <w:r w:rsidR="00464E81" w:rsidRPr="00464E81">
        <w:rPr>
          <w:rFonts w:ascii="Times New Roman" w:eastAsia="等线" w:hAnsi="Times New Roman" w:cs="Times New Roman"/>
          <w:sz w:val="24"/>
          <w:vertAlign w:val="superscript"/>
        </w:rPr>
        <w:t>1</w:t>
      </w:r>
    </w:p>
    <w:p w14:paraId="1CA21599" w14:textId="75031CD9" w:rsidR="007A6141" w:rsidRPr="00E32DC8" w:rsidRDefault="00464E81" w:rsidP="00E32DC8">
      <w:pPr>
        <w:spacing w:before="120" w:after="120" w:line="360" w:lineRule="auto"/>
        <w:jc w:val="center"/>
        <w:rPr>
          <w:rFonts w:ascii="Times New Roman" w:hAnsi="Times New Roman" w:cs="Times New Roman"/>
          <w:i/>
          <w:iCs/>
          <w:sz w:val="24"/>
        </w:rPr>
      </w:pPr>
      <w:r w:rsidRPr="00E32DC8">
        <w:rPr>
          <w:rFonts w:ascii="Times New Roman" w:eastAsia="等线" w:hAnsi="Times New Roman" w:cs="Times New Roman"/>
          <w:i/>
          <w:iCs/>
          <w:sz w:val="24"/>
          <w:vertAlign w:val="superscript"/>
        </w:rPr>
        <w:t>1</w:t>
      </w:r>
      <w:r w:rsidR="00000000" w:rsidRPr="00E32DC8">
        <w:rPr>
          <w:rFonts w:ascii="Times New Roman" w:eastAsia="等线" w:hAnsi="Times New Roman" w:cs="Times New Roman"/>
          <w:i/>
          <w:iCs/>
          <w:sz w:val="24"/>
        </w:rPr>
        <w:t>Institute of Plasma Physics, Chinese Academy of Sciences, Hefei, 230031, China</w:t>
      </w:r>
    </w:p>
    <w:p w14:paraId="11234AAD" w14:textId="77777777" w:rsidR="007A6141" w:rsidRPr="00464E81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3" w:name="heading_3"/>
      <w:r w:rsidRPr="00464E81">
        <w:rPr>
          <w:rFonts w:ascii="Times New Roman" w:eastAsia="等线" w:hAnsi="Times New Roman" w:cs="Times New Roman"/>
          <w:b/>
          <w:sz w:val="24"/>
        </w:rPr>
        <w:t>Abstract</w:t>
      </w:r>
      <w:bookmarkEnd w:id="3"/>
    </w:p>
    <w:p w14:paraId="35220413" w14:textId="453C9326" w:rsidR="00E32DC8" w:rsidRDefault="00000000" w:rsidP="00D042A8">
      <w:pPr>
        <w:spacing w:before="120" w:after="120" w:line="360" w:lineRule="auto"/>
        <w:jc w:val="both"/>
        <w:rPr>
          <w:rFonts w:ascii="Times New Roman" w:eastAsia="等线" w:hAnsi="Times New Roman" w:cs="Times New Roman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t>To provide experimental database and physical basis for ITER steady-state high-fusion-gain (</w:t>
      </w:r>
      <m:oMath>
        <m:r>
          <w:rPr>
            <w:rFonts w:ascii="Cambria Math" w:hAnsi="Cambria Math" w:cs="Times New Roman"/>
            <w:sz w:val="24"/>
          </w:rPr>
          <m:t>Q≥10</m:t>
        </m:r>
      </m:oMath>
      <w:r w:rsidRPr="00464E81">
        <w:rPr>
          <w:rFonts w:ascii="Times New Roman" w:eastAsia="等线" w:hAnsi="Times New Roman" w:cs="Times New Roman"/>
          <w:sz w:val="24"/>
        </w:rPr>
        <w:t>) operation with full-tungsten first wall, comprehensive high poloidal beta (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>) plasma experiments and transport modelling have been carried out on the EAST superconducting tokamak. Fully non-inductive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plasmas sustained by </w:t>
      </w:r>
      <w:r w:rsidR="00E32DC8" w:rsidRPr="00464E81">
        <w:rPr>
          <w:rFonts w:ascii="Times New Roman" w:eastAsia="等线" w:hAnsi="Times New Roman" w:cs="Times New Roman"/>
          <w:sz w:val="24"/>
        </w:rPr>
        <w:t>radiofrequency</w:t>
      </w:r>
      <w:r w:rsidRPr="00464E81">
        <w:rPr>
          <w:rFonts w:ascii="Times New Roman" w:eastAsia="等线" w:hAnsi="Times New Roman" w:cs="Times New Roman"/>
          <w:sz w:val="24"/>
        </w:rPr>
        <w:t xml:space="preserve"> (RF) heating alone (ECRH, LHCD, ICRF) are developed under boron-coated metal wall conditions. A core electron internal transport barrier (electron ITB) is formed to suppress turbulent transport, accompanied by small edge-localized modes (ELMs,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ELM</m:t>
            </m:r>
          </m:sub>
        </m:sSub>
        <m:r>
          <w:rPr>
            <w:rFonts w:ascii="Cambria Math" w:hAnsi="Cambria Math" w:cs="Times New Roman"/>
            <w:sz w:val="24"/>
          </w:rPr>
          <m:t>&gt;</m:t>
        </m:r>
        <m:r>
          <w:rPr>
            <w:rFonts w:ascii="Cambria Math" w:hAnsi="Cambria Math" w:cs="Times New Roman"/>
            <w:sz w:val="24"/>
          </w:rPr>
          <m:t>1.0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 kHz), controlled tungsten impurity accumulation, flat core current density profiles with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min</m:t>
            </m:r>
          </m:sub>
        </m:sSub>
        <m:r>
          <w:rPr>
            <w:rFonts w:ascii="Cambria Math" w:hAnsi="Cambria Math" w:cs="Times New Roman"/>
            <w:sz w:val="24"/>
          </w:rPr>
          <m:t>&gt;1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and ICRF-mediated suppression of 3/2 tearing modes. TGLF transport simulations reveal that Shafranov-shift-induced </w:t>
      </w:r>
      <m:oMath>
        <m:r>
          <w:rPr>
            <w:rFonts w:ascii="Cambria Math" w:hAnsi="Cambria Math" w:cs="Times New Roman"/>
            <w:sz w:val="24"/>
          </w:rPr>
          <m:t>α</m:t>
        </m:r>
      </m:oMath>
      <w:r w:rsidRPr="00464E81">
        <w:rPr>
          <w:rFonts w:ascii="Times New Roman" w:eastAsia="等线" w:hAnsi="Times New Roman" w:cs="Times New Roman"/>
          <w:sz w:val="24"/>
        </w:rPr>
        <w:t>-stabilization dominates turbulence suppression inside the ITB. Trapped electron mode (TEM) turbulence governs electron thermal transport within the barrier, while zonal flow shear exerts a regulatory suppression effect on TEM-driven energy loss.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operation significantly elevates bootstrap current fraction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BS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>, broadens radial current profiles and improves global energy confinement (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98y2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up to 1.5). Scans of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from 5.0 to 6.0 with ITER-like LSN geometry and combined ECRH/ICRF/NBI heating show reduced confinement quality at higher plasma current, together with degraded RF power coupling at altered edge plasma parameters. The EAST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database delivers critical experimental support for ITER’s tungsten wall upgrade and guides future fusion reactor steady-state high-Q scenario</w:t>
      </w:r>
      <w:r w:rsidR="00E32DC8">
        <w:rPr>
          <w:rFonts w:ascii="Times New Roman" w:eastAsia="等线" w:hAnsi="Times New Roman" w:cs="Times New Roman" w:hint="eastAsia"/>
          <w:sz w:val="24"/>
        </w:rPr>
        <w:t xml:space="preserve"> </w:t>
      </w:r>
      <w:r w:rsidRPr="00464E81">
        <w:rPr>
          <w:rFonts w:ascii="Times New Roman" w:eastAsia="等线" w:hAnsi="Times New Roman" w:cs="Times New Roman"/>
          <w:sz w:val="24"/>
        </w:rPr>
        <w:t>design.</w:t>
      </w:r>
    </w:p>
    <w:p w14:paraId="11F49C40" w14:textId="25AE91F4" w:rsidR="007A6141" w:rsidRPr="00464E81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br/>
        <w:t>Keywords: EAST tokamak;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>; steady-state operation; electron ITB; trapped electron mode; Shafranov shift; ITER</w:t>
      </w:r>
    </w:p>
    <w:p w14:paraId="701B0F13" w14:textId="77777777" w:rsidR="007A6141" w:rsidRPr="00464E81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4" w:name="heading_4"/>
      <w:r w:rsidRPr="00464E81">
        <w:rPr>
          <w:rFonts w:ascii="Times New Roman" w:eastAsia="等线" w:hAnsi="Times New Roman" w:cs="Times New Roman"/>
          <w:b/>
          <w:sz w:val="24"/>
        </w:rPr>
        <w:lastRenderedPageBreak/>
        <w:t>1. Introduction</w:t>
      </w:r>
      <w:bookmarkEnd w:id="4"/>
    </w:p>
    <w:p w14:paraId="79520573" w14:textId="4BF9549C" w:rsidR="007A6141" w:rsidRPr="00464E81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t xml:space="preserve">ITER’s revised baseline plan shifts the first-wall material from beryllium to full tungsten, introducing new challenges for long-pulse steady-state operation with high fusion gain </w:t>
      </w:r>
      <m:oMath>
        <m:r>
          <w:rPr>
            <w:rFonts w:ascii="Cambria Math" w:hAnsi="Cambria Math" w:cs="Times New Roman"/>
            <w:sz w:val="24"/>
          </w:rPr>
          <m:t>Q≥10</m:t>
        </m:r>
      </m:oMath>
      <w:r w:rsidRPr="00464E81">
        <w:rPr>
          <w:rFonts w:ascii="Times New Roman" w:eastAsia="等线" w:hAnsi="Times New Roman" w:cs="Times New Roman"/>
          <w:sz w:val="24"/>
        </w:rPr>
        <w:t>. High poloidal beta (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) plasma regimes are widely recognized as a promising route for reactor-relevant steady-state scenarios, featuring three core advantages: low plasma current to mitigate mechanical damage risks, high bootstrap current fraction to reduce external current drive power demand, and large Shafranov shift generating strong </w:t>
      </w:r>
      <m:oMath>
        <m:r>
          <w:rPr>
            <w:rFonts w:ascii="Cambria Math" w:hAnsi="Cambria Math" w:cs="Times New Roman"/>
            <w:sz w:val="24"/>
          </w:rPr>
          <m:t>α</m:t>
        </m:r>
      </m:oMath>
      <w:r w:rsidRPr="00464E81">
        <w:rPr>
          <w:rFonts w:ascii="Times New Roman" w:eastAsia="等线" w:hAnsi="Times New Roman" w:cs="Times New Roman"/>
          <w:sz w:val="24"/>
        </w:rPr>
        <w:t>-stabilization to suppress core turbulent transport.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research is coordinated across ITPA</w:t>
      </w:r>
      <w:r w:rsidR="00B40392">
        <w:rPr>
          <w:rFonts w:ascii="Times New Roman" w:eastAsia="等线" w:hAnsi="Times New Roman" w:cs="Times New Roman" w:hint="eastAsia"/>
          <w:sz w:val="24"/>
        </w:rPr>
        <w:t>_</w:t>
      </w:r>
      <w:r w:rsidRPr="00464E81">
        <w:rPr>
          <w:rFonts w:ascii="Times New Roman" w:eastAsia="等线" w:hAnsi="Times New Roman" w:cs="Times New Roman"/>
          <w:sz w:val="24"/>
        </w:rPr>
        <w:t>IOS multi-tokamak joint experiments, including AUG, DIII-D, KSTAR, WEST and EAST, targeting unresolved physics issues for ITER steady-state operation.</w:t>
      </w:r>
      <w:r w:rsidR="007B6BD8">
        <w:rPr>
          <w:rFonts w:ascii="Times New Roman" w:hAnsi="Times New Roman" w:cs="Times New Roman" w:hint="eastAsia"/>
          <w:sz w:val="24"/>
        </w:rPr>
        <w:t xml:space="preserve"> </w:t>
      </w:r>
      <w:r w:rsidRPr="00464E81">
        <w:rPr>
          <w:rFonts w:ascii="Times New Roman" w:eastAsia="等线" w:hAnsi="Times New Roman" w:cs="Times New Roman"/>
          <w:sz w:val="24"/>
        </w:rPr>
        <w:t>EAST, a fully superconducting tokamak with tungsten divertor and flexible multi-RF heating systems, serves as a key testbed to develop ITER-compatible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plasmas with long pulse duration, high confinement and low impurity accumulation. Notable Milestones of EAST: Reproducible 403s H-modes and Breakthrough 1066s High-Confinement Plasma Enabled by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Scenario Development. This paper systematically presents EAST’s latest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experimental progress, transport simulation analysis of electron ITB turbulence physics, parametric scans of safety factor and heating schemes, and future optimization strategies aligned with ITER’s new research </w:t>
      </w:r>
      <w:r w:rsidR="00B40392">
        <w:rPr>
          <w:rFonts w:ascii="Times New Roman" w:eastAsia="等线" w:hAnsi="Times New Roman" w:cs="Times New Roman" w:hint="eastAsia"/>
          <w:sz w:val="24"/>
        </w:rPr>
        <w:t>plan</w:t>
      </w:r>
      <w:r w:rsidRPr="00464E81">
        <w:rPr>
          <w:rFonts w:ascii="Times New Roman" w:eastAsia="等线" w:hAnsi="Times New Roman" w:cs="Times New Roman"/>
          <w:sz w:val="24"/>
        </w:rPr>
        <w:t>.</w:t>
      </w:r>
    </w:p>
    <w:p w14:paraId="7C546783" w14:textId="77777777" w:rsidR="007A6141" w:rsidRPr="00464E81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5" w:name="heading_6"/>
      <w:r w:rsidRPr="00464E81">
        <w:rPr>
          <w:rFonts w:ascii="Times New Roman" w:eastAsia="等线" w:hAnsi="Times New Roman" w:cs="Times New Roman"/>
          <w:b/>
          <w:sz w:val="24"/>
        </w:rPr>
        <w:t>2. Experimental Setup &amp;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b/>
          <w:sz w:val="24"/>
        </w:rPr>
        <w:t xml:space="preserve"> Baseline Discharges</w:t>
      </w:r>
      <w:bookmarkEnd w:id="5"/>
    </w:p>
    <w:p w14:paraId="4D13F7BD" w14:textId="77777777" w:rsidR="007A6141" w:rsidRPr="00464E81" w:rsidRDefault="00000000" w:rsidP="00D042A8">
      <w:pPr>
        <w:spacing w:before="300" w:after="120" w:line="360" w:lineRule="auto"/>
        <w:jc w:val="both"/>
        <w:outlineLvl w:val="2"/>
        <w:rPr>
          <w:rFonts w:ascii="Times New Roman" w:hAnsi="Times New Roman" w:cs="Times New Roman"/>
          <w:sz w:val="24"/>
        </w:rPr>
      </w:pPr>
      <w:bookmarkStart w:id="6" w:name="heading_7"/>
      <w:r w:rsidRPr="00464E81">
        <w:rPr>
          <w:rFonts w:ascii="Times New Roman" w:eastAsia="等线" w:hAnsi="Times New Roman" w:cs="Times New Roman"/>
          <w:b/>
          <w:sz w:val="24"/>
        </w:rPr>
        <w:t>2.1 EAST Heating &amp; Wall Conditions</w:t>
      </w:r>
      <w:bookmarkEnd w:id="6"/>
    </w:p>
    <w:p w14:paraId="1213DDE9" w14:textId="0E0774EA" w:rsidR="007A6141" w:rsidRPr="00464E81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t>All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experiments rely on three RF heating systems: electron cyclotron resonance heating (ECRH), lower hybrid current drive (LHCD), ion cyclotron resonance frequency heating (ICRF), with optional neutral beam injection (NBI) for ITER-like heating </w:t>
      </w:r>
      <w:r w:rsidR="00E32DC8">
        <w:rPr>
          <w:rFonts w:ascii="Times New Roman" w:eastAsia="等线" w:hAnsi="Times New Roman" w:cs="Times New Roman" w:hint="eastAsia"/>
          <w:sz w:val="24"/>
        </w:rPr>
        <w:t>scheme</w:t>
      </w:r>
      <w:r w:rsidRPr="00464E81">
        <w:rPr>
          <w:rFonts w:ascii="Times New Roman" w:eastAsia="等线" w:hAnsi="Times New Roman" w:cs="Times New Roman"/>
          <w:sz w:val="24"/>
        </w:rPr>
        <w:t>. Two wall conditioning recipes are compared: lithium coating and boronization; boron-coated walls are prioritized for ITER-relevant tungsten compatibility tests in this work. Standard lower-single-null (LSN) divertor geometry consistent with ITER configuration is adopted for parametric scans.</w:t>
      </w:r>
    </w:p>
    <w:p w14:paraId="1F34FBBA" w14:textId="006A26E5" w:rsidR="007A6141" w:rsidRPr="00E32DC8" w:rsidRDefault="00000000" w:rsidP="00E32DC8">
      <w:pPr>
        <w:pStyle w:val="a9"/>
        <w:numPr>
          <w:ilvl w:val="1"/>
          <w:numId w:val="20"/>
        </w:numPr>
        <w:spacing w:before="300" w:after="120" w:line="360" w:lineRule="auto"/>
        <w:ind w:firstLineChars="0"/>
        <w:jc w:val="both"/>
        <w:outlineLvl w:val="2"/>
        <w:rPr>
          <w:rFonts w:ascii="Times New Roman" w:hAnsi="Times New Roman" w:cs="Times New Roman"/>
          <w:sz w:val="24"/>
        </w:rPr>
      </w:pPr>
      <w:bookmarkStart w:id="7" w:name="heading_8"/>
      <w:r w:rsidRPr="00E32DC8">
        <w:rPr>
          <w:rFonts w:ascii="Times New Roman" w:eastAsia="等线" w:hAnsi="Times New Roman" w:cs="Times New Roman"/>
          <w:b/>
          <w:sz w:val="24"/>
        </w:rPr>
        <w:t>Key Baseline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E32DC8">
        <w:rPr>
          <w:rFonts w:ascii="Times New Roman" w:eastAsia="等线" w:hAnsi="Times New Roman" w:cs="Times New Roman"/>
          <w:b/>
          <w:sz w:val="24"/>
        </w:rPr>
        <w:t xml:space="preserve"> Plasma Parameters</w:t>
      </w:r>
      <w:bookmarkEnd w:id="7"/>
    </w:p>
    <w:p w14:paraId="4468FC3E" w14:textId="069182C3" w:rsidR="00E32DC8" w:rsidRDefault="00000000" w:rsidP="00E32DC8">
      <w:pPr>
        <w:spacing w:before="120" w:after="120" w:line="360" w:lineRule="auto"/>
        <w:jc w:val="both"/>
        <w:rPr>
          <w:rFonts w:ascii="Times New Roman" w:eastAsia="等线" w:hAnsi="Times New Roman" w:cs="Times New Roman" w:hint="eastAsia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t>Two representative fully non-inductive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operational regimes are established</w:t>
      </w:r>
      <w:r w:rsidR="00E32DC8">
        <w:rPr>
          <w:rFonts w:ascii="Times New Roman" w:eastAsia="等线" w:hAnsi="Times New Roman" w:cs="Times New Roman" w:hint="eastAsia"/>
          <w:sz w:val="24"/>
        </w:rPr>
        <w:t xml:space="preserve">, 1) </w:t>
      </w:r>
      <w:r w:rsidRPr="00464E81">
        <w:rPr>
          <w:rFonts w:ascii="Times New Roman" w:eastAsia="等线" w:hAnsi="Times New Roman" w:cs="Times New Roman"/>
          <w:sz w:val="24"/>
        </w:rPr>
        <w:lastRenderedPageBreak/>
        <w:t xml:space="preserve">High-confinement RF-only regime at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</w:rPr>
          <m:t>=2.5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 T,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  <m:r>
          <w:rPr>
            <w:rFonts w:ascii="Cambria Math" w:hAnsi="Cambria Math" w:cs="Times New Roman"/>
            <w:sz w:val="24"/>
          </w:rPr>
          <m:t>≈7.0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: sustained for 100 s,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98y2</m:t>
            </m:r>
          </m:sub>
        </m:sSub>
        <m:r>
          <w:rPr>
            <w:rFonts w:ascii="Cambria Math" w:hAnsi="Cambria Math" w:cs="Times New Roman"/>
            <w:sz w:val="24"/>
          </w:rPr>
          <m:t>=1.5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</w:rPr>
          <m:t>≈3.0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≈1.8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bootstrap fraction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BS</m:t>
            </m:r>
          </m:sub>
        </m:sSub>
        <m:r>
          <w:rPr>
            <w:rFonts w:ascii="Cambria Math" w:hAnsi="Cambria Math" w:cs="Times New Roman"/>
            <w:sz w:val="24"/>
          </w:rPr>
          <m:t>=50</m:t>
        </m:r>
        <m:r>
          <w:rPr>
            <w:rFonts w:ascii="Cambria Math" w:hAnsi="Cambria Math" w:cs="Times New Roman"/>
            <w:sz w:val="24"/>
          </w:rPr>
          <m:t>%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Greenwald fraction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</w:rPr>
              <m:t>e</m:t>
            </m:r>
          </m:sub>
        </m:sSub>
        <m:r>
          <w:rPr>
            <w:rFonts w:ascii="Cambria Math" w:hAnsi="Cambria Math" w:cs="Times New Roman"/>
            <w:sz w:val="24"/>
          </w:rPr>
          <m:t>/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</w:rPr>
              <m:t>G</m:t>
            </m:r>
          </m:sub>
        </m:sSub>
        <m:r>
          <w:rPr>
            <w:rFonts w:ascii="Cambria Math" w:hAnsi="Cambria Math" w:cs="Times New Roman"/>
            <w:sz w:val="24"/>
          </w:rPr>
          <m:t>=0.82</m:t>
        </m:r>
      </m:oMath>
      <w:r w:rsidR="00E32DC8">
        <w:rPr>
          <w:rFonts w:ascii="Times New Roman" w:eastAsia="等线" w:hAnsi="Times New Roman" w:cs="Times New Roman" w:hint="eastAsia"/>
          <w:sz w:val="24"/>
        </w:rPr>
        <w:t>, see in figure 1.</w:t>
      </w:r>
      <w:r w:rsidR="00E32DC8">
        <w:rPr>
          <w:rFonts w:ascii="Times New Roman" w:hAnsi="Times New Roman" w:cs="Times New Roman" w:hint="eastAsia"/>
          <w:sz w:val="24"/>
        </w:rPr>
        <w:t xml:space="preserve"> 2) </w:t>
      </w:r>
      <w:r w:rsidRPr="00464E81">
        <w:rPr>
          <w:rFonts w:ascii="Times New Roman" w:eastAsia="等线" w:hAnsi="Times New Roman" w:cs="Times New Roman"/>
          <w:sz w:val="24"/>
        </w:rPr>
        <w:t xml:space="preserve">ITER tungsten-wall compatible regime at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  <m:r>
          <w:rPr>
            <w:rFonts w:ascii="Cambria Math" w:hAnsi="Cambria Math" w:cs="Times New Roman"/>
            <w:sz w:val="24"/>
          </w:rPr>
          <m:t>=6.0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</w:rPr>
              <m:t>e</m:t>
            </m:r>
          </m:sub>
        </m:sSub>
        <m:r>
          <w:rPr>
            <w:rFonts w:ascii="Cambria Math" w:hAnsi="Cambria Math" w:cs="Times New Roman"/>
            <w:sz w:val="24"/>
          </w:rPr>
          <m:t>/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</w:rPr>
              <m:t>G</m:t>
            </m:r>
          </m:sub>
        </m:sSub>
        <m:r>
          <w:rPr>
            <w:rFonts w:ascii="Cambria Math" w:hAnsi="Cambria Math" w:cs="Times New Roman"/>
            <w:sz w:val="24"/>
          </w:rPr>
          <m:t>=0.65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</w:rPr>
          <m:t>=2.5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 T: dominant electron heating yields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98y2</m:t>
            </m:r>
          </m:sub>
        </m:sSub>
        <m:r>
          <w:rPr>
            <w:rFonts w:ascii="Cambria Math" w:hAnsi="Cambria Math" w:cs="Times New Roman"/>
            <w:sz w:val="24"/>
          </w:rPr>
          <m:t>=1.35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</w:rPr>
          <m:t>=2.1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</w:rPr>
          <m:t>=1.85</m:t>
        </m:r>
      </m:oMath>
      <w:r w:rsidRPr="00464E81">
        <w:rPr>
          <w:rFonts w:ascii="Times New Roman" w:eastAsia="等线" w:hAnsi="Times New Roman" w:cs="Times New Roman"/>
          <w:sz w:val="24"/>
        </w:rPr>
        <w:t>. This discharge exhibits a well-defined electron ITB, frequent small ELMs (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ELM</m:t>
            </m:r>
          </m:sub>
        </m:sSub>
        <m:r>
          <w:rPr>
            <w:rFonts w:ascii="Cambria Math" w:hAnsi="Cambria Math" w:cs="Times New Roman"/>
            <w:sz w:val="24"/>
          </w:rPr>
          <m:t>&gt;2.5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 kHz), suppressed tungsten impurity accumulation, flat core </w:t>
      </w:r>
      <m:oMath>
        <m:r>
          <w:rPr>
            <w:rFonts w:ascii="Cambria Math" w:hAnsi="Cambria Math" w:cs="Times New Roman"/>
            <w:sz w:val="24"/>
          </w:rPr>
          <m:t>q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-profile with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min</m:t>
            </m:r>
          </m:sub>
        </m:sSub>
        <m:r>
          <w:rPr>
            <w:rFonts w:ascii="Cambria Math" w:hAnsi="Cambria Math" w:cs="Times New Roman"/>
            <w:sz w:val="24"/>
          </w:rPr>
          <m:t>&gt;1</m:t>
        </m:r>
      </m:oMath>
      <w:r w:rsidRPr="00464E81">
        <w:rPr>
          <w:rFonts w:ascii="Times New Roman" w:eastAsia="等线" w:hAnsi="Times New Roman" w:cs="Times New Roman"/>
          <w:sz w:val="24"/>
        </w:rPr>
        <w:t>, and complete suppression of 3/2 tearing modes via ICRF central heating</w:t>
      </w:r>
      <w:r w:rsidR="00E32DC8">
        <w:rPr>
          <w:rFonts w:ascii="Times New Roman" w:eastAsia="等线" w:hAnsi="Times New Roman" w:cs="Times New Roman" w:hint="eastAsia"/>
          <w:sz w:val="24"/>
        </w:rPr>
        <w:t>, shown in figure 2</w:t>
      </w:r>
      <w:r w:rsidRPr="00464E81">
        <w:rPr>
          <w:rFonts w:ascii="Times New Roman" w:eastAsia="等线" w:hAnsi="Times New Roman" w:cs="Times New Roman"/>
          <w:sz w:val="24"/>
        </w:rPr>
        <w:t>.</w:t>
      </w:r>
      <w:r w:rsidR="00E32DC8">
        <w:rPr>
          <w:rFonts w:ascii="Times New Roman" w:hAnsi="Times New Roman" w:cs="Times New Roman" w:hint="eastAsia"/>
          <w:sz w:val="24"/>
        </w:rPr>
        <w:t xml:space="preserve"> </w:t>
      </w:r>
      <w:r w:rsidRPr="00464E81">
        <w:rPr>
          <w:rFonts w:ascii="Times New Roman" w:eastAsia="等线" w:hAnsi="Times New Roman" w:cs="Times New Roman"/>
          <w:sz w:val="24"/>
        </w:rPr>
        <w:t>In high-density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shots, elevated bulk plasma density and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simultaneously increase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BS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, broaden the radial bootstrap current profile, and further </w:t>
      </w:r>
      <w:r w:rsidR="00E95B52" w:rsidRPr="00E95B52">
        <w:rPr>
          <w:rFonts w:ascii="Times New Roman" w:eastAsia="等线" w:hAnsi="Times New Roman" w:cs="Times New Roman"/>
          <w:i/>
          <w:iCs/>
          <w:sz w:val="24"/>
        </w:rPr>
        <w:drawing>
          <wp:anchor distT="0" distB="0" distL="114300" distR="114300" simplePos="0" relativeHeight="251663360" behindDoc="0" locked="0" layoutInCell="1" allowOverlap="1" wp14:anchorId="0B9F5D73" wp14:editId="1946655B">
            <wp:simplePos x="0" y="0"/>
            <wp:positionH relativeFrom="margin">
              <wp:align>left</wp:align>
            </wp:positionH>
            <wp:positionV relativeFrom="paragraph">
              <wp:posOffset>2786471</wp:posOffset>
            </wp:positionV>
            <wp:extent cx="5080000" cy="1859280"/>
            <wp:effectExtent l="0" t="0" r="6350" b="7620"/>
            <wp:wrapTopAndBottom/>
            <wp:docPr id="981797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975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388" cy="1861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E81">
        <w:rPr>
          <w:rFonts w:ascii="Times New Roman" w:eastAsia="等线" w:hAnsi="Times New Roman" w:cs="Times New Roman"/>
          <w:sz w:val="24"/>
        </w:rPr>
        <w:t>elevate global energy confinement performance.</w:t>
      </w:r>
    </w:p>
    <w:p w14:paraId="44B5B380" w14:textId="37A1AF6A" w:rsidR="00E95B52" w:rsidRPr="00E95B52" w:rsidRDefault="00E95B52" w:rsidP="00D042A8">
      <w:pPr>
        <w:spacing w:before="120" w:after="120" w:line="360" w:lineRule="auto"/>
        <w:jc w:val="both"/>
        <w:rPr>
          <w:rFonts w:ascii="Times New Roman" w:eastAsia="等线" w:hAnsi="Times New Roman" w:cs="Times New Roman" w:hint="eastAsia"/>
          <w:i/>
          <w:iCs/>
          <w:sz w:val="24"/>
        </w:rPr>
      </w:pPr>
      <w:r w:rsidRPr="00E95B52">
        <w:rPr>
          <w:rFonts w:ascii="Times New Roman" w:hAnsi="Times New Roman" w:cs="Times New Roman"/>
          <w:i/>
          <w:iCs/>
          <w:sz w:val="24"/>
        </w:rPr>
        <w:drawing>
          <wp:anchor distT="0" distB="0" distL="114300" distR="114300" simplePos="0" relativeHeight="251662336" behindDoc="0" locked="0" layoutInCell="1" allowOverlap="1" wp14:anchorId="35957642" wp14:editId="63AC87E2">
            <wp:simplePos x="0" y="0"/>
            <wp:positionH relativeFrom="margin">
              <wp:align>right</wp:align>
            </wp:positionH>
            <wp:positionV relativeFrom="paragraph">
              <wp:posOffset>2365103</wp:posOffset>
            </wp:positionV>
            <wp:extent cx="5170170" cy="2743200"/>
            <wp:effectExtent l="0" t="0" r="0" b="0"/>
            <wp:wrapTopAndBottom/>
            <wp:docPr id="4527619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619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17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7B6BD8">
        <w:rPr>
          <w:rFonts w:ascii="Times New Roman" w:eastAsia="等线" w:hAnsi="Times New Roman" w:cs="Times New Roman"/>
          <w:i/>
          <w:iCs/>
          <w:sz w:val="24"/>
        </w:rPr>
        <w:t xml:space="preserve">Figure 1. </w:t>
      </w:r>
      <w:r w:rsidR="00E32DC8" w:rsidRPr="007B6BD8">
        <w:rPr>
          <w:rFonts w:ascii="Times New Roman" w:hAnsi="Times New Roman" w:cs="Times New Roman"/>
          <w:i/>
          <w:iCs/>
          <w:sz w:val="24"/>
        </w:rPr>
        <w:t>Long pulse Fully Non-inductive High-</w:t>
      </w:r>
      <w:r w:rsidR="00E32DC8" w:rsidRPr="007B6BD8">
        <w:rPr>
          <w:rFonts w:ascii="Times New Roman" w:hAnsi="Times New Roman" w:cs="Times New Roman"/>
          <w:i/>
          <w:iCs/>
          <w:sz w:val="24"/>
          <w:lang w:val="el-GR"/>
        </w:rPr>
        <w:t>β</w:t>
      </w:r>
      <w:r w:rsidR="00E32DC8" w:rsidRPr="007B6BD8">
        <w:rPr>
          <w:rFonts w:ascii="Times New Roman" w:hAnsi="Times New Roman" w:cs="Times New Roman"/>
          <w:i/>
          <w:iCs/>
          <w:sz w:val="24"/>
          <w:vertAlign w:val="subscript"/>
        </w:rPr>
        <w:t>P</w:t>
      </w:r>
      <w:r w:rsidR="00E32DC8" w:rsidRPr="007B6BD8">
        <w:rPr>
          <w:rFonts w:ascii="Times New Roman" w:hAnsi="Times New Roman" w:cs="Times New Roman"/>
          <w:i/>
          <w:iCs/>
          <w:sz w:val="24"/>
        </w:rPr>
        <w:t xml:space="preserve"> Scenarios operation with a duration of ~100s in RF-heating: V</w:t>
      </w:r>
      <w:r w:rsidR="00E32DC8" w:rsidRPr="007B6BD8">
        <w:rPr>
          <w:rFonts w:ascii="Times New Roman" w:hAnsi="Times New Roman" w:cs="Times New Roman"/>
          <w:i/>
          <w:iCs/>
          <w:sz w:val="24"/>
          <w:vertAlign w:val="subscript"/>
        </w:rPr>
        <w:t>L</w:t>
      </w:r>
      <w:r w:rsidR="00E32DC8" w:rsidRPr="007B6BD8">
        <w:rPr>
          <w:rFonts w:ascii="Times New Roman" w:hAnsi="Times New Roman" w:cs="Times New Roman"/>
          <w:i/>
          <w:iCs/>
          <w:sz w:val="24"/>
        </w:rPr>
        <w:t>~ 0, P</w:t>
      </w:r>
      <w:r w:rsidR="00E32DC8" w:rsidRPr="007B6BD8">
        <w:rPr>
          <w:rFonts w:ascii="Times New Roman" w:hAnsi="Times New Roman" w:cs="Times New Roman"/>
          <w:i/>
          <w:iCs/>
          <w:sz w:val="24"/>
          <w:vertAlign w:val="subscript"/>
        </w:rPr>
        <w:t>EC</w:t>
      </w:r>
      <w:r w:rsidR="00E32DC8" w:rsidRPr="007B6BD8">
        <w:rPr>
          <w:rFonts w:ascii="Times New Roman" w:hAnsi="Times New Roman" w:cs="Times New Roman"/>
          <w:i/>
          <w:iCs/>
          <w:sz w:val="24"/>
        </w:rPr>
        <w:t>~1.75MW, P</w:t>
      </w:r>
      <w:r w:rsidR="00E32DC8" w:rsidRPr="007B6BD8">
        <w:rPr>
          <w:rFonts w:ascii="Times New Roman" w:hAnsi="Times New Roman" w:cs="Times New Roman"/>
          <w:i/>
          <w:iCs/>
          <w:sz w:val="24"/>
          <w:vertAlign w:val="subscript"/>
        </w:rPr>
        <w:t>LH</w:t>
      </w:r>
      <w:r w:rsidR="00E32DC8" w:rsidRPr="007B6BD8">
        <w:rPr>
          <w:rFonts w:ascii="Times New Roman" w:hAnsi="Times New Roman" w:cs="Times New Roman"/>
          <w:i/>
          <w:iCs/>
          <w:sz w:val="24"/>
        </w:rPr>
        <w:t>~2.0MW, P</w:t>
      </w:r>
      <w:r w:rsidR="00E32DC8" w:rsidRPr="007B6BD8">
        <w:rPr>
          <w:rFonts w:ascii="Times New Roman" w:hAnsi="Times New Roman" w:cs="Times New Roman"/>
          <w:i/>
          <w:iCs/>
          <w:sz w:val="24"/>
          <w:vertAlign w:val="subscript"/>
        </w:rPr>
        <w:t>IC</w:t>
      </w:r>
      <w:r w:rsidR="00E32DC8" w:rsidRPr="007B6BD8">
        <w:rPr>
          <w:rFonts w:ascii="Times New Roman" w:hAnsi="Times New Roman" w:cs="Times New Roman"/>
          <w:i/>
          <w:iCs/>
          <w:sz w:val="24"/>
        </w:rPr>
        <w:t>~1.6MW</w:t>
      </w:r>
      <w:r w:rsidR="00E32DC8" w:rsidRPr="007B6BD8">
        <w:rPr>
          <w:rFonts w:ascii="Times New Roman" w:hAnsi="Times New Roman" w:cs="Times New Roman" w:hint="eastAsia"/>
          <w:i/>
          <w:iCs/>
          <w:sz w:val="24"/>
        </w:rPr>
        <w:t>.</w:t>
      </w:r>
    </w:p>
    <w:p w14:paraId="264E13C2" w14:textId="14ECB203" w:rsidR="00E95B52" w:rsidRPr="00E95B52" w:rsidRDefault="00E32DC8" w:rsidP="00E95B52">
      <w:pPr>
        <w:spacing w:before="120" w:after="120" w:line="360" w:lineRule="auto"/>
        <w:jc w:val="both"/>
        <w:rPr>
          <w:rFonts w:ascii="Times New Roman" w:eastAsia="等线" w:hAnsi="Times New Roman" w:cs="Times New Roman" w:hint="eastAsia"/>
          <w:i/>
          <w:iCs/>
          <w:sz w:val="24"/>
        </w:rPr>
      </w:pPr>
      <w:r w:rsidRPr="007B6BD8">
        <w:rPr>
          <w:rFonts w:ascii="Times New Roman" w:hAnsi="Times New Roman" w:cs="Times New Roman" w:hint="eastAsia"/>
          <w:i/>
          <w:iCs/>
          <w:sz w:val="24"/>
        </w:rPr>
        <w:t>Figure 2.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 xml:space="preserve">   </w:t>
      </w:r>
      <w:r w:rsidR="00E95B52">
        <w:rPr>
          <w:rFonts w:ascii="Times New Roman" w:hAnsi="Times New Roman" w:cs="Times New Roman" w:hint="eastAsia"/>
          <w:i/>
          <w:iCs/>
          <w:sz w:val="24"/>
        </w:rPr>
        <w:t xml:space="preserve">(a) 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Development o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>f f</w:t>
      </w:r>
      <w:r w:rsidR="007B6BD8" w:rsidRPr="007B6BD8">
        <w:rPr>
          <w:rFonts w:ascii="Times New Roman" w:hAnsi="Times New Roman" w:cs="Times New Roman"/>
          <w:i/>
          <w:iCs/>
          <w:sz w:val="24"/>
        </w:rPr>
        <w:t xml:space="preserve">ully 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>n</w:t>
      </w:r>
      <w:r w:rsidR="007B6BD8" w:rsidRPr="007B6BD8">
        <w:rPr>
          <w:rFonts w:ascii="Times New Roman" w:hAnsi="Times New Roman" w:cs="Times New Roman"/>
          <w:i/>
          <w:iCs/>
          <w:sz w:val="24"/>
        </w:rPr>
        <w:t xml:space="preserve">on-inductive 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>h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igh-β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P</w:t>
      </w:r>
      <w:r w:rsidR="007B6BD8" w:rsidRPr="007B6BD8">
        <w:rPr>
          <w:rFonts w:ascii="Times New Roman" w:hAnsi="Times New Roman" w:cs="Times New Roman"/>
          <w:i/>
          <w:iCs/>
          <w:sz w:val="24"/>
        </w:rPr>
        <w:t xml:space="preserve"> Scenario 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with Boronization</w:t>
      </w:r>
      <w:r w:rsidR="007B6BD8" w:rsidRPr="007B6BD8">
        <w:rPr>
          <w:rFonts w:ascii="Times New Roman" w:hAnsi="Times New Roman" w:cs="Times New Roman"/>
          <w:i/>
          <w:iCs/>
          <w:sz w:val="24"/>
        </w:rPr>
        <w:t xml:space="preserve"> on 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>f</w:t>
      </w:r>
      <w:r w:rsidR="007B6BD8" w:rsidRPr="007B6BD8">
        <w:rPr>
          <w:rFonts w:ascii="Times New Roman" w:hAnsi="Times New Roman" w:cs="Times New Roman"/>
          <w:i/>
          <w:iCs/>
          <w:sz w:val="24"/>
        </w:rPr>
        <w:t xml:space="preserve">ull 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>m</w:t>
      </w:r>
      <w:r w:rsidR="007B6BD8" w:rsidRPr="007B6BD8">
        <w:rPr>
          <w:rFonts w:ascii="Times New Roman" w:hAnsi="Times New Roman" w:cs="Times New Roman"/>
          <w:i/>
          <w:iCs/>
          <w:sz w:val="24"/>
        </w:rPr>
        <w:t xml:space="preserve">etal 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>w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all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>, i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mproved performance during IC heating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 xml:space="preserve">: 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V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loop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~0, P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LHW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~2.7MW, P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EC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~2.0MW, P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IC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~4.0MW</w:t>
      </w:r>
      <w:r w:rsidR="007B6BD8" w:rsidRPr="007B6BD8">
        <w:rPr>
          <w:rFonts w:ascii="Times New Roman" w:hAnsi="Times New Roman" w:cs="Times New Roman" w:hint="eastAsia"/>
          <w:i/>
          <w:iCs/>
          <w:sz w:val="24"/>
        </w:rPr>
        <w:t xml:space="preserve">, 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n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Gr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~0.65, β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P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~2.1, β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N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~1.85, H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 xml:space="preserve">98y2 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~1.35, q</w:t>
      </w:r>
      <w:r w:rsidR="007B6BD8" w:rsidRPr="007B6BD8">
        <w:rPr>
          <w:rFonts w:ascii="Times New Roman" w:hAnsi="Times New Roman" w:cs="Times New Roman"/>
          <w:i/>
          <w:iCs/>
          <w:sz w:val="24"/>
          <w:vertAlign w:val="subscript"/>
        </w:rPr>
        <w:t>95</w:t>
      </w:r>
      <w:r w:rsidR="007B6BD8" w:rsidRPr="007B6BD8">
        <w:rPr>
          <w:rFonts w:ascii="Times New Roman" w:hAnsi="Times New Roman" w:cs="Times New Roman"/>
          <w:i/>
          <w:iCs/>
          <w:sz w:val="24"/>
        </w:rPr>
        <w:t>~6.0</w:t>
      </w:r>
      <w:r w:rsidR="00E95B52">
        <w:rPr>
          <w:rFonts w:ascii="Times New Roman" w:hAnsi="Times New Roman" w:cs="Times New Roman" w:hint="eastAsia"/>
          <w:i/>
          <w:iCs/>
          <w:sz w:val="24"/>
        </w:rPr>
        <w:t xml:space="preserve">. </w:t>
      </w:r>
      <w:r w:rsidR="00E95B52" w:rsidRPr="007B6BD8">
        <w:rPr>
          <w:rFonts w:ascii="Times New Roman" w:hAnsi="Times New Roman" w:cs="Times New Roman" w:hint="eastAsia"/>
          <w:i/>
          <w:iCs/>
          <w:sz w:val="24"/>
        </w:rPr>
        <w:t xml:space="preserve">(b)Energy confinement </w:t>
      </w:r>
      <w:r w:rsidR="00E95B52" w:rsidRPr="007B6BD8">
        <w:rPr>
          <w:rFonts w:ascii="Times New Roman" w:hAnsi="Times New Roman" w:cs="Times New Roman"/>
          <w:i/>
          <w:iCs/>
          <w:sz w:val="24"/>
        </w:rPr>
        <w:t>factor</w:t>
      </w:r>
      <w:r w:rsidR="00E95B52" w:rsidRPr="007B6BD8">
        <w:rPr>
          <w:rFonts w:ascii="Times New Roman" w:hAnsi="Times New Roman" w:cs="Times New Roman" w:hint="eastAsia"/>
          <w:i/>
          <w:iCs/>
          <w:sz w:val="24"/>
        </w:rPr>
        <w:t xml:space="preserve"> H98y2 versus poloidal beta under </w:t>
      </w:r>
      <w:r w:rsidR="00E95B52" w:rsidRPr="007B6BD8">
        <w:rPr>
          <w:rFonts w:ascii="Times New Roman" w:hAnsi="Times New Roman" w:cs="Times New Roman"/>
          <w:i/>
          <w:iCs/>
          <w:sz w:val="24"/>
        </w:rPr>
        <w:t>varying</w:t>
      </w:r>
      <w:r w:rsidR="00E95B52" w:rsidRPr="007B6BD8">
        <w:rPr>
          <w:rFonts w:ascii="Times New Roman" w:hAnsi="Times New Roman" w:cs="Times New Roman" w:hint="eastAsia"/>
          <w:i/>
          <w:iCs/>
          <w:sz w:val="24"/>
        </w:rPr>
        <w:t xml:space="preserve"> density.</w:t>
      </w:r>
    </w:p>
    <w:p w14:paraId="73F9C9BA" w14:textId="1C58C229" w:rsidR="00E32DC8" w:rsidRPr="00E95B52" w:rsidRDefault="00E32DC8" w:rsidP="00D042A8">
      <w:pPr>
        <w:spacing w:before="120" w:after="120" w:line="360" w:lineRule="auto"/>
        <w:jc w:val="both"/>
        <w:rPr>
          <w:rFonts w:ascii="Times New Roman" w:hAnsi="Times New Roman" w:cs="Times New Roman" w:hint="eastAsia"/>
          <w:i/>
          <w:iCs/>
          <w:sz w:val="24"/>
        </w:rPr>
      </w:pPr>
    </w:p>
    <w:p w14:paraId="322C34C0" w14:textId="77777777" w:rsidR="007A6141" w:rsidRPr="00464E81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8" w:name="heading_9"/>
      <w:r w:rsidRPr="00464E81">
        <w:rPr>
          <w:rFonts w:ascii="Times New Roman" w:eastAsia="等线" w:hAnsi="Times New Roman" w:cs="Times New Roman"/>
          <w:b/>
          <w:sz w:val="24"/>
        </w:rPr>
        <w:t>3. Core Transport Physics of Electron ITB in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b/>
          <w:sz w:val="24"/>
        </w:rPr>
        <w:t xml:space="preserve"> Plasmas</w:t>
      </w:r>
      <w:bookmarkEnd w:id="8"/>
    </w:p>
    <w:p w14:paraId="64F075CD" w14:textId="77777777" w:rsidR="007A6141" w:rsidRPr="00464E81" w:rsidRDefault="00000000" w:rsidP="00D042A8">
      <w:pPr>
        <w:spacing w:before="300" w:after="120" w:line="360" w:lineRule="auto"/>
        <w:jc w:val="both"/>
        <w:outlineLvl w:val="2"/>
        <w:rPr>
          <w:rFonts w:ascii="Times New Roman" w:hAnsi="Times New Roman" w:cs="Times New Roman"/>
          <w:sz w:val="24"/>
        </w:rPr>
      </w:pPr>
      <w:bookmarkStart w:id="9" w:name="heading_10"/>
      <w:r w:rsidRPr="00464E81">
        <w:rPr>
          <w:rFonts w:ascii="Times New Roman" w:eastAsia="等线" w:hAnsi="Times New Roman" w:cs="Times New Roman"/>
          <w:b/>
          <w:sz w:val="24"/>
        </w:rPr>
        <w:t>3.1 Turbulence Suppression Mechanism from Shafranov Shift</w:t>
      </w:r>
      <w:bookmarkEnd w:id="9"/>
    </w:p>
    <w:p w14:paraId="77E42152" w14:textId="77777777" w:rsidR="007A6141" w:rsidRPr="00464E81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t>TGLF-SAT0 linear and nonlinear transport simulations are performed against experimental equilibrium profiles of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ITB discharges. Transport simulation results demonstrated α-stabilization induced by Shafranov shift is the dominant factor governing turbulent transport. The Shafranov shift scales positively with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, and </w:t>
      </w:r>
      <m:oMath>
        <m:r>
          <w:rPr>
            <w:rFonts w:ascii="Cambria Math" w:hAnsi="Cambria Math" w:cs="Times New Roman"/>
            <w:sz w:val="24"/>
          </w:rPr>
          <m:t>α∝d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</w:rPr>
          <m:t>/dr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; rising </w:t>
      </w:r>
      <m:oMath>
        <m:r>
          <w:rPr>
            <w:rFonts w:ascii="Cambria Math" w:hAnsi="Cambria Math" w:cs="Times New Roman"/>
            <w:sz w:val="24"/>
          </w:rPr>
          <m:t>α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 narrows unstable turbulent eigenfunctions and reduces overall turbulent heat flux. Modelling further shows electron turbulent energy flux decreases monotonically with increased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, consistent with core transport reduction observed in experimental electron temperature profiles for </w:t>
      </w:r>
      <m:oMath>
        <m:r>
          <w:rPr>
            <w:rFonts w:ascii="Cambria Math" w:hAnsi="Cambria Math" w:cs="Times New Roman"/>
            <w:sz w:val="24"/>
          </w:rPr>
          <m:t>ρ&lt;0.4</m:t>
        </m:r>
      </m:oMath>
      <w:r w:rsidRPr="00464E81">
        <w:rPr>
          <w:rFonts w:ascii="Times New Roman" w:eastAsia="等线" w:hAnsi="Times New Roman" w:cs="Times New Roman"/>
          <w:sz w:val="24"/>
        </w:rPr>
        <w:t>.</w:t>
      </w:r>
    </w:p>
    <w:p w14:paraId="05DF3D8E" w14:textId="37BBBDBB" w:rsidR="007A6141" w:rsidRPr="007B6BD8" w:rsidRDefault="00000000" w:rsidP="007B6BD8">
      <w:pPr>
        <w:pStyle w:val="a9"/>
        <w:numPr>
          <w:ilvl w:val="1"/>
          <w:numId w:val="23"/>
        </w:numPr>
        <w:spacing w:before="300" w:after="120" w:line="360" w:lineRule="auto"/>
        <w:ind w:firstLineChars="0"/>
        <w:jc w:val="both"/>
        <w:outlineLvl w:val="2"/>
        <w:rPr>
          <w:rFonts w:ascii="Times New Roman" w:hAnsi="Times New Roman" w:cs="Times New Roman"/>
          <w:sz w:val="24"/>
        </w:rPr>
      </w:pPr>
      <w:bookmarkStart w:id="10" w:name="heading_11"/>
      <w:r w:rsidRPr="007B6BD8">
        <w:rPr>
          <w:rFonts w:ascii="Times New Roman" w:eastAsia="等线" w:hAnsi="Times New Roman" w:cs="Times New Roman"/>
          <w:b/>
          <w:sz w:val="24"/>
        </w:rPr>
        <w:t>TEM Turbulence and Zonal Flow Shear Regulation</w:t>
      </w:r>
      <w:bookmarkEnd w:id="10"/>
    </w:p>
    <w:p w14:paraId="1D10FEE8" w14:textId="222815AD" w:rsidR="007A6141" w:rsidRPr="00464E81" w:rsidRDefault="00000000" w:rsidP="007B6BD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t>Linear TGLF eigenvalue analysis separates two dominant turbulent regimes across plasma radius:</w:t>
      </w:r>
      <w:r w:rsidR="007B6BD8">
        <w:rPr>
          <w:rFonts w:ascii="Times New Roman" w:eastAsia="等线" w:hAnsi="Times New Roman" w:cs="Times New Roman"/>
          <w:sz w:val="24"/>
        </w:rPr>
        <w:t xml:space="preserve"> </w:t>
      </w:r>
      <w:r w:rsidRPr="00464E81">
        <w:rPr>
          <w:rFonts w:ascii="Times New Roman" w:eastAsia="等线" w:hAnsi="Times New Roman" w:cs="Times New Roman"/>
          <w:sz w:val="24"/>
        </w:rPr>
        <w:t>Inside the electron ITB (</w:t>
      </w:r>
      <m:oMath>
        <m:r>
          <w:rPr>
            <w:rFonts w:ascii="Cambria Math" w:hAnsi="Cambria Math" w:cs="Times New Roman"/>
            <w:sz w:val="24"/>
          </w:rPr>
          <m:t>ρ&lt;0.4</m:t>
        </m:r>
      </m:oMath>
      <w:r w:rsidRPr="00464E81">
        <w:rPr>
          <w:rFonts w:ascii="Times New Roman" w:eastAsia="等线" w:hAnsi="Times New Roman" w:cs="Times New Roman"/>
          <w:sz w:val="24"/>
        </w:rPr>
        <w:t>): trapped electron mode (TEM) is the sole unstable turbulence branch, governing electron thermal energy transport;</w:t>
      </w:r>
      <w:r w:rsidR="007B6BD8">
        <w:rPr>
          <w:rFonts w:ascii="Times New Roman" w:hAnsi="Times New Roman" w:cs="Times New Roman" w:hint="eastAsia"/>
          <w:sz w:val="24"/>
        </w:rPr>
        <w:t xml:space="preserve"> </w:t>
      </w:r>
      <w:r w:rsidRPr="00464E81">
        <w:rPr>
          <w:rFonts w:ascii="Times New Roman" w:eastAsia="等线" w:hAnsi="Times New Roman" w:cs="Times New Roman"/>
          <w:sz w:val="24"/>
        </w:rPr>
        <w:t>Outside the ITB (</w:t>
      </w:r>
      <m:oMath>
        <m:r>
          <w:rPr>
            <w:rFonts w:ascii="Cambria Math" w:hAnsi="Cambria Math" w:cs="Times New Roman"/>
            <w:sz w:val="24"/>
          </w:rPr>
          <m:t>ρ&gt;0.4</m:t>
        </m:r>
      </m:oMath>
      <w:r w:rsidRPr="00464E81">
        <w:rPr>
          <w:rFonts w:ascii="Times New Roman" w:eastAsia="等线" w:hAnsi="Times New Roman" w:cs="Times New Roman"/>
          <w:sz w:val="24"/>
        </w:rPr>
        <w:t>): electron temperature gradient (ETG) modes dominate small-scale electron transport.</w:t>
      </w:r>
    </w:p>
    <w:p w14:paraId="300FC5DA" w14:textId="77777777" w:rsidR="007A6141" w:rsidRDefault="00000000" w:rsidP="00D042A8">
      <w:pPr>
        <w:spacing w:before="120" w:after="120" w:line="360" w:lineRule="auto"/>
        <w:jc w:val="both"/>
        <w:rPr>
          <w:rFonts w:ascii="Times New Roman" w:eastAsia="等线" w:hAnsi="Times New Roman" w:cs="Times New Roman"/>
          <w:sz w:val="24"/>
        </w:rPr>
      </w:pPr>
      <w:r w:rsidRPr="00464E81">
        <w:rPr>
          <w:rFonts w:ascii="Times New Roman" w:eastAsia="等线" w:hAnsi="Times New Roman" w:cs="Times New Roman"/>
          <w:sz w:val="24"/>
        </w:rPr>
        <w:t xml:space="preserve">The electron thermal ITB is mainly controlled by trapped electron mode (TEM) turbulence, and zonal flow shearing in the ITB region exerts a regulatory effect on TEM-induced energy transport. While E×B shear flow shows weak direct impact on energy transport, the combined effect of Shafranov shift </w:t>
      </w:r>
      <m:oMath>
        <m:r>
          <w:rPr>
            <w:rFonts w:ascii="Cambria Math" w:hAnsi="Cambria Math" w:cs="Times New Roman"/>
            <w:sz w:val="24"/>
          </w:rPr>
          <m:t>α</m:t>
        </m:r>
      </m:oMath>
      <w:r w:rsidRPr="00464E81">
        <w:rPr>
          <w:rFonts w:ascii="Times New Roman" w:eastAsia="等线" w:hAnsi="Times New Roman" w:cs="Times New Roman"/>
          <w:sz w:val="24"/>
        </w:rPr>
        <w:t xml:space="preserve">-stabilization and zonal flow shear forms the dual barrier mechanism sustaining low core electron transport and high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</w:rPr>
              <m:t>e</m:t>
            </m:r>
          </m:sub>
        </m:sSub>
      </m:oMath>
      <w:r w:rsidRPr="00464E81">
        <w:rPr>
          <w:rFonts w:ascii="Times New Roman" w:eastAsia="等线" w:hAnsi="Times New Roman" w:cs="Times New Roman"/>
          <w:sz w:val="24"/>
        </w:rPr>
        <w:t xml:space="preserve"> gradient.</w:t>
      </w:r>
    </w:p>
    <w:p w14:paraId="476D71C1" w14:textId="37C475EC" w:rsidR="007B6BD8" w:rsidRPr="00464E81" w:rsidRDefault="007B6BD8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6825FF2E" w14:textId="052E29A5" w:rsidR="007A6141" w:rsidRPr="007B6BD8" w:rsidRDefault="007B6BD8" w:rsidP="00D042A8">
      <w:pPr>
        <w:spacing w:before="120" w:after="12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BA0CF89" wp14:editId="24EA935B">
            <wp:simplePos x="0" y="0"/>
            <wp:positionH relativeFrom="column">
              <wp:posOffset>830580</wp:posOffset>
            </wp:positionH>
            <wp:positionV relativeFrom="paragraph">
              <wp:posOffset>0</wp:posOffset>
            </wp:positionV>
            <wp:extent cx="3780790" cy="2834640"/>
            <wp:effectExtent l="0" t="0" r="0" b="3810"/>
            <wp:wrapTopAndBottom/>
            <wp:docPr id="2124781764" name="Picture 135">
              <a:extLst xmlns:a="http://schemas.openxmlformats.org/drawingml/2006/main">
                <a:ext uri="{FF2B5EF4-FFF2-40B4-BE49-F238E27FC236}">
                  <a16:creationId xmlns:a16="http://schemas.microsoft.com/office/drawing/2014/main" id="{CA50A72C-DA23-8488-7D4A-254307867A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35">
                      <a:extLst>
                        <a:ext uri="{FF2B5EF4-FFF2-40B4-BE49-F238E27FC236}">
                          <a16:creationId xmlns:a16="http://schemas.microsoft.com/office/drawing/2014/main" id="{CA50A72C-DA23-8488-7D4A-254307867A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7B6BD8">
        <w:rPr>
          <w:rFonts w:ascii="Times New Roman" w:eastAsia="等线" w:hAnsi="Times New Roman" w:cs="Times New Roman"/>
          <w:i/>
          <w:iCs/>
          <w:sz w:val="24"/>
        </w:rPr>
        <w:t xml:space="preserve">Figure </w:t>
      </w:r>
      <w:r w:rsidRPr="007B6BD8">
        <w:rPr>
          <w:rFonts w:ascii="Times New Roman" w:eastAsia="等线" w:hAnsi="Times New Roman" w:cs="Times New Roman" w:hint="eastAsia"/>
          <w:i/>
          <w:iCs/>
          <w:sz w:val="24"/>
        </w:rPr>
        <w:t>3</w:t>
      </w:r>
      <w:r w:rsidR="00000000" w:rsidRPr="007B6BD8">
        <w:rPr>
          <w:rFonts w:ascii="Times New Roman" w:eastAsia="等线" w:hAnsi="Times New Roman" w:cs="Times New Roman"/>
          <w:i/>
          <w:iCs/>
          <w:sz w:val="24"/>
        </w:rPr>
        <w:t xml:space="preserve">. Linear growth rates of TEM and ETG turbulence modes as a function of normalized minor radius </w:t>
      </w:r>
      <m:oMath>
        <m:r>
          <w:rPr>
            <w:rFonts w:ascii="Cambria Math" w:hAnsi="Cambria Math" w:cs="Times New Roman"/>
            <w:sz w:val="24"/>
          </w:rPr>
          <m:t>ρ</m:t>
        </m:r>
      </m:oMath>
      <w:r w:rsidR="00000000" w:rsidRPr="007B6BD8">
        <w:rPr>
          <w:rFonts w:ascii="Times New Roman" w:eastAsia="等线" w:hAnsi="Times New Roman" w:cs="Times New Roman"/>
          <w:i/>
          <w:iCs/>
          <w:sz w:val="24"/>
        </w:rPr>
        <w:t xml:space="preserve"> in high-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="00000000" w:rsidRPr="007B6BD8">
        <w:rPr>
          <w:rFonts w:ascii="Times New Roman" w:eastAsia="等线" w:hAnsi="Times New Roman" w:cs="Times New Roman"/>
          <w:i/>
          <w:iCs/>
          <w:sz w:val="24"/>
        </w:rPr>
        <w:t xml:space="preserve"> electron ITB plasma.</w:t>
      </w:r>
    </w:p>
    <w:p w14:paraId="75D35649" w14:textId="7D38CAD3" w:rsidR="007A6141" w:rsidRPr="00D042A8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11" w:name="heading_13"/>
      <w:r w:rsidRPr="00D042A8">
        <w:rPr>
          <w:rFonts w:ascii="Times New Roman" w:eastAsia="等线" w:hAnsi="Times New Roman" w:cs="Times New Roman"/>
          <w:b/>
          <w:sz w:val="24"/>
        </w:rPr>
        <w:t>4. Parametric Scans of ITER-Relevant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b/>
          <w:sz w:val="24"/>
        </w:rPr>
        <w:t xml:space="preserve"> Scenarios</w:t>
      </w:r>
      <w:bookmarkEnd w:id="11"/>
    </w:p>
    <w:p w14:paraId="47A223EF" w14:textId="25ECE28C" w:rsidR="007A6141" w:rsidRPr="007B6BD8" w:rsidRDefault="00000000" w:rsidP="007B6BD8">
      <w:pPr>
        <w:pStyle w:val="a9"/>
        <w:numPr>
          <w:ilvl w:val="1"/>
          <w:numId w:val="24"/>
        </w:numPr>
        <w:spacing w:before="300" w:after="120" w:line="360" w:lineRule="auto"/>
        <w:ind w:firstLineChars="0"/>
        <w:jc w:val="both"/>
        <w:outlineLvl w:val="2"/>
        <w:rPr>
          <w:rFonts w:ascii="Times New Roman" w:hAnsi="Times New Roman" w:cs="Times New Roman"/>
          <w:sz w:val="24"/>
        </w:rPr>
      </w:pPr>
      <w:bookmarkStart w:id="12" w:name="heading_14"/>
      <w:r w:rsidRPr="007B6BD8">
        <w:rPr>
          <w:rFonts w:ascii="Times New Roman" w:eastAsia="等线" w:hAnsi="Times New Roman" w:cs="Times New Roman"/>
          <w:b/>
          <w:sz w:val="24"/>
        </w:rPr>
        <w:t xml:space="preserve">Safety Factor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</m:oMath>
      <w:r w:rsidRPr="007B6BD8">
        <w:rPr>
          <w:rFonts w:ascii="Times New Roman" w:eastAsia="等线" w:hAnsi="Times New Roman" w:cs="Times New Roman"/>
          <w:b/>
          <w:sz w:val="24"/>
        </w:rPr>
        <w:t xml:space="preserve"> Scanning with ITER-like Heating Combinations</w:t>
      </w:r>
      <w:bookmarkEnd w:id="12"/>
    </w:p>
    <w:p w14:paraId="39202B8E" w14:textId="77777777" w:rsidR="005F20AE" w:rsidRDefault="00000000" w:rsidP="00D042A8">
      <w:pPr>
        <w:spacing w:before="120" w:after="120" w:line="360" w:lineRule="auto"/>
        <w:jc w:val="both"/>
        <w:rPr>
          <w:rFonts w:ascii="Times New Roman" w:eastAsia="等线" w:hAnsi="Times New Roman" w:cs="Times New Roman"/>
          <w:sz w:val="24"/>
        </w:rPr>
      </w:pPr>
      <w:r w:rsidRPr="00D042A8">
        <w:rPr>
          <w:rFonts w:ascii="Times New Roman" w:eastAsia="等线" w:hAnsi="Times New Roman" w:cs="Times New Roman"/>
          <w:sz w:val="24"/>
        </w:rPr>
        <w:t xml:space="preserve">To match ITER’s moderate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operational window, plasma current scans cover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  <m:r>
          <w:rPr>
            <w:rFonts w:ascii="Cambria Math" w:hAnsi="Cambria Math" w:cs="Times New Roman"/>
            <w:sz w:val="24"/>
          </w:rPr>
          <m:t>=5.0-6.0</m:t>
        </m:r>
      </m:oMath>
      <w:r w:rsidRPr="00D042A8">
        <w:rPr>
          <w:rFonts w:ascii="Times New Roman" w:eastAsia="等线" w:hAnsi="Times New Roman" w:cs="Times New Roman"/>
          <w:sz w:val="24"/>
        </w:rPr>
        <w:t xml:space="preserve"> under LSN geometry with combined ECRH, ICRF and NBI heating (no LHCD, replicating ITER’s baseline heating mix). Two primary trends are identified:</w:t>
      </w:r>
      <w:r w:rsidR="007B6BD8">
        <w:rPr>
          <w:rFonts w:ascii="Times New Roman" w:eastAsia="等线" w:hAnsi="Times New Roman" w:cs="Times New Roman"/>
          <w:sz w:val="24"/>
        </w:rPr>
        <w:t xml:space="preserve"> </w:t>
      </w:r>
      <w:r w:rsidR="007B6BD8">
        <w:rPr>
          <w:rFonts w:ascii="Times New Roman" w:eastAsia="等线" w:hAnsi="Times New Roman" w:cs="Times New Roman" w:hint="eastAsia"/>
          <w:sz w:val="24"/>
        </w:rPr>
        <w:t xml:space="preserve">1) </w:t>
      </w:r>
      <w:r w:rsidRPr="00D042A8">
        <w:rPr>
          <w:rFonts w:ascii="Times New Roman" w:eastAsia="等线" w:hAnsi="Times New Roman" w:cs="Times New Roman"/>
          <w:sz w:val="24"/>
        </w:rPr>
        <w:t xml:space="preserve">Global confinement factor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98y2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degrades from 1.35 down to 1.1 as plasma current rises (lower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>);</w:t>
      </w:r>
      <w:r w:rsidR="007B6BD8">
        <w:rPr>
          <w:rFonts w:ascii="Times New Roman" w:hAnsi="Times New Roman" w:cs="Times New Roman" w:hint="eastAsia"/>
          <w:sz w:val="24"/>
        </w:rPr>
        <w:t xml:space="preserve"> 2) </w:t>
      </w:r>
      <w:r w:rsidRPr="00D042A8">
        <w:rPr>
          <w:rFonts w:ascii="Times New Roman" w:eastAsia="等线" w:hAnsi="Times New Roman" w:cs="Times New Roman"/>
          <w:sz w:val="24"/>
        </w:rPr>
        <w:t>Edge scrape-off layer (SOL) electron density drops significantly with increased plasma current, modifying wave accessibility for RF heating systems.</w:t>
      </w:r>
      <w:r w:rsidR="007B6BD8">
        <w:rPr>
          <w:rFonts w:ascii="Times New Roman" w:hAnsi="Times New Roman" w:cs="Times New Roman" w:hint="eastAsia"/>
          <w:sz w:val="24"/>
        </w:rPr>
        <w:t xml:space="preserve"> </w:t>
      </w:r>
      <w:r w:rsidRPr="00D042A8">
        <w:rPr>
          <w:rFonts w:ascii="Times New Roman" w:eastAsia="等线" w:hAnsi="Times New Roman" w:cs="Times New Roman"/>
          <w:sz w:val="24"/>
        </w:rPr>
        <w:t xml:space="preserve">Edge plasma profiles strongly influence the coupling and power absorption efficiency of both LHCD and ICRF. Lower SOL density at low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reduces LHCD wave coupling, while SOL temperature modification alters collisional power loss for ion cyclotron waves.</w:t>
      </w:r>
    </w:p>
    <w:p w14:paraId="36C30343" w14:textId="5379ACC1" w:rsidR="005F20AE" w:rsidRDefault="00E95B52" w:rsidP="00D042A8">
      <w:pPr>
        <w:spacing w:before="120" w:after="120" w:line="360" w:lineRule="auto"/>
        <w:jc w:val="both"/>
        <w:rPr>
          <w:rFonts w:ascii="Times New Roman" w:eastAsia="等线" w:hAnsi="Times New Roman" w:cs="Times New Roman"/>
          <w:sz w:val="24"/>
        </w:rPr>
      </w:pPr>
      <w:r w:rsidRPr="00E95B52">
        <w:rPr>
          <w:rFonts w:ascii="Times New Roman" w:eastAsia="等线" w:hAnsi="Times New Roman" w:cs="Times New Roman"/>
          <w:sz w:val="24"/>
        </w:rPr>
        <w:lastRenderedPageBreak/>
        <w:drawing>
          <wp:inline distT="0" distB="0" distL="0" distR="0" wp14:anchorId="7DE55967" wp14:editId="173551D1">
            <wp:extent cx="5273675" cy="3557270"/>
            <wp:effectExtent l="0" t="0" r="3175" b="5080"/>
            <wp:docPr id="14289788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788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A471D" w14:textId="55E1F3AC" w:rsidR="007A6141" w:rsidRPr="00B40392" w:rsidRDefault="00000000" w:rsidP="00B40392">
      <w:pPr>
        <w:spacing w:before="120" w:after="120" w:line="360" w:lineRule="auto"/>
        <w:ind w:left="360"/>
        <w:jc w:val="both"/>
        <w:rPr>
          <w:rFonts w:ascii="Times New Roman" w:eastAsia="等线" w:hAnsi="Times New Roman" w:cs="Times New Roman"/>
          <w:i/>
          <w:iCs/>
          <w:sz w:val="24"/>
        </w:rPr>
      </w:pPr>
      <w:r w:rsidRPr="00B40392">
        <w:rPr>
          <w:rFonts w:ascii="Times New Roman" w:eastAsia="等线" w:hAnsi="Times New Roman" w:cs="Times New Roman"/>
          <w:i/>
          <w:iCs/>
          <w:sz w:val="24"/>
        </w:rPr>
        <w:t xml:space="preserve">Figure </w:t>
      </w:r>
      <w:r w:rsidR="007B6BD8" w:rsidRPr="00B40392">
        <w:rPr>
          <w:rFonts w:ascii="Times New Roman" w:eastAsia="等线" w:hAnsi="Times New Roman" w:cs="Times New Roman" w:hint="eastAsia"/>
          <w:i/>
          <w:iCs/>
          <w:sz w:val="24"/>
        </w:rPr>
        <w:t>4</w:t>
      </w:r>
      <w:r w:rsidRPr="00B40392">
        <w:rPr>
          <w:rFonts w:ascii="Times New Roman" w:eastAsia="等线" w:hAnsi="Times New Roman" w:cs="Times New Roman"/>
          <w:i/>
          <w:iCs/>
          <w:sz w:val="24"/>
        </w:rPr>
        <w:t xml:space="preserve">. </w:t>
      </w:r>
      <w:r w:rsidR="00B40392" w:rsidRPr="00B40392">
        <w:rPr>
          <w:rFonts w:ascii="Times New Roman" w:eastAsia="等线" w:hAnsi="Times New Roman" w:cs="Times New Roman" w:hint="eastAsia"/>
          <w:i/>
          <w:iCs/>
          <w:sz w:val="24"/>
        </w:rPr>
        <w:t xml:space="preserve">Left: 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>High-β</w:t>
      </w:r>
      <w:r w:rsidR="00B40392" w:rsidRPr="00B40392">
        <w:rPr>
          <w:rFonts w:ascii="Times New Roman" w:eastAsia="等线" w:hAnsi="Times New Roman" w:cs="Times New Roman"/>
          <w:i/>
          <w:iCs/>
          <w:sz w:val="24"/>
          <w:vertAlign w:val="subscript"/>
        </w:rPr>
        <w:t>P</w:t>
      </w:r>
      <w:r w:rsidR="00B40392" w:rsidRPr="00B40392">
        <w:rPr>
          <w:rFonts w:ascii="Times New Roman" w:eastAsia="等线" w:hAnsi="Times New Roman" w:cs="Times New Roman" w:hint="eastAsia"/>
          <w:i/>
          <w:iCs/>
          <w:sz w:val="24"/>
        </w:rPr>
        <w:t>p p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 xml:space="preserve">lasma </w:t>
      </w:r>
      <w:r w:rsidR="00B40392" w:rsidRPr="00B40392">
        <w:rPr>
          <w:rFonts w:ascii="Times New Roman" w:eastAsia="等线" w:hAnsi="Times New Roman" w:cs="Times New Roman" w:hint="eastAsia"/>
          <w:i/>
          <w:iCs/>
          <w:sz w:val="24"/>
        </w:rPr>
        <w:t>o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>peration at q</w:t>
      </w:r>
      <w:r w:rsidR="00B40392" w:rsidRPr="00B40392">
        <w:rPr>
          <w:rFonts w:ascii="Times New Roman" w:eastAsia="等线" w:hAnsi="Times New Roman" w:cs="Times New Roman"/>
          <w:i/>
          <w:iCs/>
          <w:sz w:val="24"/>
          <w:vertAlign w:val="subscript"/>
        </w:rPr>
        <w:t>95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 xml:space="preserve">=6.2 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sym w:font="Wingdings" w:char="F0E0"/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 xml:space="preserve"> 5.0 for 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>extension fusion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 xml:space="preserve"> performance towards high-Q</w:t>
      </w:r>
      <w:r w:rsidR="00B40392" w:rsidRPr="00B40392">
        <w:rPr>
          <w:rFonts w:ascii="Times New Roman" w:eastAsia="等线" w:hAnsi="Times New Roman" w:cs="Times New Roman" w:hint="eastAsia"/>
          <w:i/>
          <w:iCs/>
          <w:sz w:val="24"/>
        </w:rPr>
        <w:t>, s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>ame RF power injection at density n</w:t>
      </w:r>
      <w:r w:rsidR="00B40392" w:rsidRPr="00B40392">
        <w:rPr>
          <w:rFonts w:ascii="Times New Roman" w:eastAsia="等线" w:hAnsi="Times New Roman" w:cs="Times New Roman"/>
          <w:i/>
          <w:iCs/>
          <w:sz w:val="24"/>
          <w:vertAlign w:val="subscript"/>
        </w:rPr>
        <w:t>e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>/n</w:t>
      </w:r>
      <w:r w:rsidR="00B40392" w:rsidRPr="00B40392">
        <w:rPr>
          <w:rFonts w:ascii="Times New Roman" w:eastAsia="等线" w:hAnsi="Times New Roman" w:cs="Times New Roman"/>
          <w:i/>
          <w:iCs/>
          <w:sz w:val="24"/>
          <w:vertAlign w:val="subscript"/>
        </w:rPr>
        <w:t>G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>~0.6</w:t>
      </w:r>
      <w:r w:rsidR="00B40392" w:rsidRPr="00B40392">
        <w:rPr>
          <w:rFonts w:ascii="Times New Roman" w:eastAsia="等线" w:hAnsi="Times New Roman" w:cs="Times New Roman" w:hint="eastAsia"/>
          <w:i/>
          <w:iCs/>
          <w:sz w:val="24"/>
        </w:rPr>
        <w:t xml:space="preserve">, 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>H</w:t>
      </w:r>
      <w:r w:rsidR="00B40392" w:rsidRPr="00B40392">
        <w:rPr>
          <w:rFonts w:ascii="Times New Roman" w:eastAsia="等线" w:hAnsi="Times New Roman" w:cs="Times New Roman"/>
          <w:i/>
          <w:iCs/>
          <w:sz w:val="24"/>
          <w:vertAlign w:val="subscript"/>
        </w:rPr>
        <w:t>98y2</w:t>
      </w:r>
      <w:r w:rsidR="00B40392" w:rsidRPr="00B40392">
        <w:rPr>
          <w:rFonts w:ascii="Times New Roman" w:eastAsia="等线" w:hAnsi="Times New Roman" w:cs="Times New Roman"/>
          <w:i/>
          <w:iCs/>
          <w:sz w:val="24"/>
        </w:rPr>
        <w:t xml:space="preserve"> decreased as plasma current increased</w:t>
      </w:r>
      <w:r w:rsidR="00B40392" w:rsidRPr="00B40392">
        <w:rPr>
          <w:rFonts w:ascii="Times New Roman" w:eastAsia="等线" w:hAnsi="Times New Roman" w:cs="Times New Roman" w:hint="eastAsia"/>
          <w:i/>
          <w:iCs/>
          <w:sz w:val="24"/>
        </w:rPr>
        <w:t xml:space="preserve"> </w:t>
      </w:r>
      <w:proofErr w:type="spellStart"/>
      <w:proofErr w:type="gramStart"/>
      <w:r w:rsidR="00B40392" w:rsidRPr="00B40392">
        <w:rPr>
          <w:rFonts w:ascii="Times New Roman" w:eastAsia="等线" w:hAnsi="Times New Roman" w:cs="Times New Roman" w:hint="eastAsia"/>
          <w:i/>
          <w:iCs/>
          <w:sz w:val="24"/>
        </w:rPr>
        <w:t>Right:</w:t>
      </w:r>
      <w:r w:rsidRPr="00B40392">
        <w:rPr>
          <w:rFonts w:ascii="Times New Roman" w:eastAsia="等线" w:hAnsi="Times New Roman" w:cs="Times New Roman"/>
          <w:i/>
          <w:iCs/>
          <w:sz w:val="24"/>
        </w:rPr>
        <w:t>Radial</w:t>
      </w:r>
      <w:proofErr w:type="spellEnd"/>
      <w:proofErr w:type="gramEnd"/>
      <w:r w:rsidRPr="00B40392">
        <w:rPr>
          <w:rFonts w:ascii="Times New Roman" w:eastAsia="等线" w:hAnsi="Times New Roman" w:cs="Times New Roman"/>
          <w:i/>
          <w:iCs/>
          <w:sz w:val="24"/>
        </w:rPr>
        <w:t xml:space="preserve"> profiles of SOL electron density and temperature under different plasma current (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B40392">
        <w:rPr>
          <w:rFonts w:ascii="Times New Roman" w:eastAsia="等线" w:hAnsi="Times New Roman" w:cs="Times New Roman"/>
          <w:i/>
          <w:iCs/>
          <w:sz w:val="24"/>
        </w:rPr>
        <w:t xml:space="preserve">) /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</m:oMath>
      <w:r w:rsidRPr="00B40392">
        <w:rPr>
          <w:rFonts w:ascii="Times New Roman" w:eastAsia="等线" w:hAnsi="Times New Roman" w:cs="Times New Roman"/>
          <w:i/>
          <w:iCs/>
          <w:sz w:val="24"/>
        </w:rPr>
        <w:t xml:space="preserve"> conditions.</w:t>
      </w:r>
    </w:p>
    <w:p w14:paraId="2F7714FA" w14:textId="77777777" w:rsidR="007A6141" w:rsidRPr="00D042A8" w:rsidRDefault="00000000" w:rsidP="00D042A8">
      <w:pPr>
        <w:spacing w:before="300" w:after="120" w:line="360" w:lineRule="auto"/>
        <w:jc w:val="both"/>
        <w:outlineLvl w:val="2"/>
        <w:rPr>
          <w:rFonts w:ascii="Times New Roman" w:hAnsi="Times New Roman" w:cs="Times New Roman"/>
          <w:sz w:val="24"/>
        </w:rPr>
      </w:pPr>
      <w:bookmarkStart w:id="13" w:name="heading_15"/>
      <w:r w:rsidRPr="00D042A8">
        <w:rPr>
          <w:rFonts w:ascii="Times New Roman" w:eastAsia="等线" w:hAnsi="Times New Roman" w:cs="Times New Roman"/>
          <w:b/>
          <w:sz w:val="24"/>
        </w:rPr>
        <w:t>4.2 Current Profile Broadening for Enhanced Bootstrap Fraction</w:t>
      </w:r>
      <w:bookmarkEnd w:id="13"/>
    </w:p>
    <w:p w14:paraId="066C94D0" w14:textId="649BBF18" w:rsidR="007A6141" w:rsidRPr="00D042A8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D042A8">
        <w:rPr>
          <w:rFonts w:ascii="Times New Roman" w:eastAsia="等线" w:hAnsi="Times New Roman" w:cs="Times New Roman"/>
          <w:sz w:val="24"/>
        </w:rPr>
        <w:t xml:space="preserve">Off-axis early ECRH deposition during plasma current ramp-up and off-axis LHCD </w:t>
      </w:r>
      <w:r w:rsidR="005F20AE" w:rsidRPr="00D042A8">
        <w:rPr>
          <w:rFonts w:ascii="Times New Roman" w:eastAsia="等线" w:hAnsi="Times New Roman" w:cs="Times New Roman"/>
          <w:sz w:val="24"/>
        </w:rPr>
        <w:t>injections</w:t>
      </w:r>
      <w:r w:rsidRPr="00D042A8">
        <w:rPr>
          <w:rFonts w:ascii="Times New Roman" w:eastAsia="等线" w:hAnsi="Times New Roman" w:cs="Times New Roman"/>
          <w:sz w:val="24"/>
        </w:rPr>
        <w:t xml:space="preserve"> produce broader radial current density profiles. Broader </w:t>
      </w:r>
      <m:oMath>
        <m:r>
          <w:rPr>
            <w:rFonts w:ascii="Cambria Math" w:hAnsi="Cambria Math" w:cs="Times New Roman"/>
            <w:sz w:val="24"/>
          </w:rPr>
          <m:t>j(r)</m:t>
        </m:r>
      </m:oMath>
      <w:r w:rsidRPr="00D042A8">
        <w:rPr>
          <w:rFonts w:ascii="Times New Roman" w:eastAsia="等线" w:hAnsi="Times New Roman" w:cs="Times New Roman"/>
          <w:sz w:val="24"/>
        </w:rPr>
        <w:t xml:space="preserve"> reduces internal inductance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</w:rPr>
              <m:t>i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, weakens core magnetic shear, raises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, and further boosts bootstrap current fraction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BS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. ICRF central heating additionally broadens the bootstrap current profile by elevating core electron temperature gradients, which counteracts peaked ECCD current profiles. For discharges with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min</m:t>
            </m:r>
          </m:sub>
        </m:sSub>
        <m:r>
          <w:rPr>
            <w:rFonts w:ascii="Cambria Math" w:hAnsi="Cambria Math" w:cs="Times New Roman"/>
            <w:sz w:val="24"/>
          </w:rPr>
          <m:t>&gt;2</m:t>
        </m:r>
      </m:oMath>
      <w:r w:rsidRPr="00D042A8">
        <w:rPr>
          <w:rFonts w:ascii="Times New Roman" w:eastAsia="等线" w:hAnsi="Times New Roman" w:cs="Times New Roman"/>
          <w:sz w:val="24"/>
        </w:rPr>
        <w:t>, low-order NTMs (3/2 and 2/1 tearing modes) are fully stabilized, avoiding core confinement degradation.</w:t>
      </w:r>
    </w:p>
    <w:p w14:paraId="0E95A8D0" w14:textId="0AD0D563" w:rsidR="007A6141" w:rsidRPr="00D042A8" w:rsidRDefault="005F20AE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5F20AE">
        <w:rPr>
          <w:rFonts w:ascii="Times New Roman" w:eastAsia="等线" w:hAnsi="Times New Roman" w:cs="Times New Roman"/>
          <w:sz w:val="24"/>
        </w:rPr>
        <w:lastRenderedPageBreak/>
        <w:drawing>
          <wp:inline distT="0" distB="0" distL="0" distR="0" wp14:anchorId="3EC89F63" wp14:editId="2F7A0EC8">
            <wp:extent cx="5273675" cy="3292475"/>
            <wp:effectExtent l="0" t="0" r="3175" b="3175"/>
            <wp:docPr id="13184876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876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D042A8">
        <w:rPr>
          <w:rFonts w:ascii="Times New Roman" w:eastAsia="等线" w:hAnsi="Times New Roman" w:cs="Times New Roman"/>
          <w:sz w:val="24"/>
        </w:rPr>
        <w:br/>
        <w:t xml:space="preserve">Figure </w:t>
      </w:r>
      <w:r>
        <w:rPr>
          <w:rFonts w:ascii="Times New Roman" w:eastAsia="等线" w:hAnsi="Times New Roman" w:cs="Times New Roman" w:hint="eastAsia"/>
          <w:sz w:val="24"/>
        </w:rPr>
        <w:t>5</w:t>
      </w:r>
      <w:r w:rsidR="00000000" w:rsidRPr="00D042A8">
        <w:rPr>
          <w:rFonts w:ascii="Times New Roman" w:eastAsia="等线" w:hAnsi="Times New Roman" w:cs="Times New Roman"/>
          <w:sz w:val="24"/>
        </w:rPr>
        <w:t xml:space="preserve">. </w:t>
      </w:r>
      <w:r w:rsidRPr="005F20AE">
        <w:rPr>
          <w:rFonts w:ascii="Times New Roman" w:eastAsia="等线" w:hAnsi="Times New Roman" w:cs="Times New Roman"/>
          <w:sz w:val="24"/>
        </w:rPr>
        <w:t xml:space="preserve">Broad Current Profile by Early EC Heating and off-axis LHCD </w:t>
      </w:r>
      <w:r w:rsidRPr="005F20AE">
        <w:rPr>
          <w:rFonts w:ascii="Times New Roman" w:eastAsia="等线" w:hAnsi="Times New Roman" w:cs="Times New Roman"/>
          <w:sz w:val="24"/>
        </w:rPr>
        <w:br/>
        <w:t>at High Density Sustained Fully Non-inductive High-</w:t>
      </w:r>
      <w:r w:rsidRPr="005F20AE">
        <w:rPr>
          <w:rFonts w:ascii="Times New Roman" w:eastAsia="等线" w:hAnsi="Times New Roman" w:cs="Times New Roman"/>
          <w:sz w:val="24"/>
          <w:lang w:val="el-GR"/>
        </w:rPr>
        <w:t>β</w:t>
      </w:r>
      <w:r w:rsidRPr="005F20AE">
        <w:rPr>
          <w:rFonts w:ascii="Times New Roman" w:eastAsia="等线" w:hAnsi="Times New Roman" w:cs="Times New Roman"/>
          <w:sz w:val="24"/>
          <w:vertAlign w:val="subscript"/>
        </w:rPr>
        <w:t>P</w:t>
      </w:r>
      <w:r w:rsidRPr="005F20AE">
        <w:rPr>
          <w:rFonts w:ascii="Times New Roman" w:eastAsia="等线" w:hAnsi="Times New Roman" w:cs="Times New Roman"/>
          <w:sz w:val="24"/>
        </w:rPr>
        <w:t xml:space="preserve"> Scenarios</w:t>
      </w:r>
      <w:r w:rsidR="00000000" w:rsidRPr="005F20AE">
        <w:rPr>
          <w:rFonts w:ascii="Times New Roman" w:eastAsia="等线" w:hAnsi="Times New Roman" w:cs="Times New Roman"/>
          <w:sz w:val="24"/>
        </w:rPr>
        <w:t>.</w:t>
      </w:r>
    </w:p>
    <w:p w14:paraId="1E79DE59" w14:textId="77777777" w:rsidR="007A6141" w:rsidRPr="00D042A8" w:rsidRDefault="00000000" w:rsidP="00D042A8">
      <w:pPr>
        <w:spacing w:before="300" w:after="120" w:line="360" w:lineRule="auto"/>
        <w:jc w:val="both"/>
        <w:outlineLvl w:val="2"/>
        <w:rPr>
          <w:rFonts w:ascii="Times New Roman" w:hAnsi="Times New Roman" w:cs="Times New Roman"/>
          <w:sz w:val="24"/>
        </w:rPr>
      </w:pPr>
      <w:bookmarkStart w:id="14" w:name="heading_16"/>
      <w:r w:rsidRPr="00D042A8">
        <w:rPr>
          <w:rFonts w:ascii="Times New Roman" w:eastAsia="等线" w:hAnsi="Times New Roman" w:cs="Times New Roman"/>
          <w:b/>
          <w:sz w:val="24"/>
        </w:rPr>
        <w:t>4.3 Wall Conditioning Impact on Heating Efficiency &amp; Confinement</w:t>
      </w:r>
      <w:bookmarkEnd w:id="14"/>
    </w:p>
    <w:p w14:paraId="4453CB4E" w14:textId="77777777" w:rsidR="007A6141" w:rsidRPr="00D042A8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D042A8">
        <w:rPr>
          <w:rFonts w:ascii="Times New Roman" w:eastAsia="等线" w:hAnsi="Times New Roman" w:cs="Times New Roman"/>
          <w:sz w:val="24"/>
        </w:rPr>
        <w:t>Lithium wall coating improves LHCD current drive efficiency by a factor of 1.35 relative to boronization, driven by higher SOL electron temperature which mitigates parasitic density-interaction power loss. ECRH confinement performance shows weak sensitivity to wall materials, but boronized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plasmas suffer ~10–15% lower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98y2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compared with lithium-conditioned shots, a critical consideration for ITER’s full-tungsten boron wall conditioning strategy.</w:t>
      </w:r>
    </w:p>
    <w:p w14:paraId="11B83747" w14:textId="5C6835F3" w:rsidR="007A6141" w:rsidRPr="00D042A8" w:rsidRDefault="005F20AE" w:rsidP="006F15F2">
      <w:pPr>
        <w:spacing w:before="120" w:after="120" w:line="360" w:lineRule="auto"/>
        <w:jc w:val="both"/>
        <w:rPr>
          <w:rFonts w:ascii="Times New Roman" w:hAnsi="Times New Roman" w:cs="Times New Roman" w:hint="eastAsia"/>
          <w:sz w:val="24"/>
        </w:rPr>
      </w:pPr>
      <w:r w:rsidRPr="005F20AE">
        <w:rPr>
          <w:rFonts w:ascii="Times New Roman" w:eastAsia="等线" w:hAnsi="Times New Roman" w:cs="Times New Roman"/>
          <w:sz w:val="24"/>
        </w:rPr>
        <w:drawing>
          <wp:inline distT="0" distB="0" distL="0" distR="0" wp14:anchorId="6D3FDEDF" wp14:editId="638C0E2E">
            <wp:extent cx="5273675" cy="2177415"/>
            <wp:effectExtent l="0" t="0" r="3175" b="0"/>
            <wp:docPr id="179258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863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D042A8">
        <w:rPr>
          <w:rFonts w:ascii="Times New Roman" w:eastAsia="等线" w:hAnsi="Times New Roman" w:cs="Times New Roman"/>
          <w:sz w:val="24"/>
        </w:rPr>
        <w:br/>
      </w:r>
      <w:r w:rsidR="00000000" w:rsidRPr="005F20AE">
        <w:rPr>
          <w:rFonts w:ascii="Times New Roman" w:eastAsia="等线" w:hAnsi="Times New Roman" w:cs="Times New Roman"/>
          <w:i/>
          <w:iCs/>
          <w:sz w:val="24"/>
        </w:rPr>
        <w:t xml:space="preserve">Figure </w:t>
      </w:r>
      <w:r w:rsidR="00E95B52">
        <w:rPr>
          <w:rFonts w:ascii="Times New Roman" w:eastAsia="等线" w:hAnsi="Times New Roman" w:cs="Times New Roman" w:hint="eastAsia"/>
          <w:i/>
          <w:iCs/>
          <w:sz w:val="24"/>
        </w:rPr>
        <w:t>6</w:t>
      </w:r>
      <w:r w:rsidR="00000000" w:rsidRPr="005F20AE">
        <w:rPr>
          <w:rFonts w:ascii="Times New Roman" w:eastAsia="等线" w:hAnsi="Times New Roman" w:cs="Times New Roman"/>
          <w:i/>
          <w:iCs/>
          <w:sz w:val="24"/>
        </w:rPr>
        <w:t>.</w:t>
      </w:r>
      <w:r w:rsidRPr="005F20AE">
        <w:rPr>
          <w:rFonts w:ascii="Times New Roman" w:eastAsia="等线" w:hAnsi="Times New Roman" w:cs="Times New Roman" w:hint="eastAsia"/>
          <w:i/>
          <w:iCs/>
          <w:sz w:val="24"/>
        </w:rPr>
        <w:t xml:space="preserve"> (a) </w:t>
      </w:r>
      <w:r w:rsidR="00000000" w:rsidRPr="005F20AE">
        <w:rPr>
          <w:rFonts w:ascii="Times New Roman" w:eastAsia="等线" w:hAnsi="Times New Roman" w:cs="Times New Roman"/>
          <w:i/>
          <w:iCs/>
          <w:sz w:val="24"/>
        </w:rPr>
        <w:t>Comparison of LHCD current drive efficiency</w:t>
      </w:r>
      <w:r w:rsidRPr="005F20AE">
        <w:rPr>
          <w:rFonts w:ascii="Times New Roman" w:eastAsia="等线" w:hAnsi="Times New Roman" w:cs="Times New Roman" w:hint="eastAsia"/>
          <w:i/>
          <w:iCs/>
          <w:sz w:val="24"/>
        </w:rPr>
        <w:t xml:space="preserve">, (b) </w:t>
      </w:r>
      <w:r w:rsidR="00000000" w:rsidRPr="005F20AE">
        <w:rPr>
          <w:rFonts w:ascii="Times New Roman" w:eastAsia="等线" w:hAnsi="Times New Roman" w:cs="Times New Roman"/>
          <w:i/>
          <w:iCs/>
          <w:sz w:val="24"/>
        </w:rPr>
        <w:t xml:space="preserve">normalized confinement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98y2</m:t>
            </m:r>
          </m:sub>
        </m:sSub>
      </m:oMath>
      <w:r w:rsidR="00000000" w:rsidRPr="005F20AE">
        <w:rPr>
          <w:rFonts w:ascii="Times New Roman" w:eastAsia="等线" w:hAnsi="Times New Roman" w:cs="Times New Roman"/>
          <w:i/>
          <w:iCs/>
          <w:sz w:val="24"/>
        </w:rPr>
        <w:t xml:space="preserve"> between lithium coating and boronization wall conditioning.</w:t>
      </w:r>
    </w:p>
    <w:p w14:paraId="632D5D0E" w14:textId="77777777" w:rsidR="007A6141" w:rsidRPr="00D042A8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15" w:name="heading_18"/>
      <w:r w:rsidRPr="00D042A8">
        <w:rPr>
          <w:rFonts w:ascii="Times New Roman" w:eastAsia="等线" w:hAnsi="Times New Roman" w:cs="Times New Roman"/>
          <w:b/>
          <w:sz w:val="24"/>
        </w:rPr>
        <w:lastRenderedPageBreak/>
        <w:t>5. Challenges and Near-Term EAST Optimization Roadmap</w:t>
      </w:r>
      <w:bookmarkEnd w:id="15"/>
    </w:p>
    <w:p w14:paraId="5E57E01D" w14:textId="6966BC61" w:rsidR="007A6141" w:rsidRPr="006F15F2" w:rsidRDefault="00000000" w:rsidP="006F15F2">
      <w:pPr>
        <w:pStyle w:val="a9"/>
        <w:numPr>
          <w:ilvl w:val="1"/>
          <w:numId w:val="25"/>
        </w:numPr>
        <w:spacing w:before="300" w:after="120" w:line="360" w:lineRule="auto"/>
        <w:ind w:firstLineChars="0"/>
        <w:jc w:val="both"/>
        <w:outlineLvl w:val="2"/>
        <w:rPr>
          <w:rFonts w:ascii="Times New Roman" w:hAnsi="Times New Roman" w:cs="Times New Roman"/>
          <w:sz w:val="24"/>
        </w:rPr>
      </w:pPr>
      <w:bookmarkStart w:id="16" w:name="heading_19"/>
      <w:r w:rsidRPr="006F15F2">
        <w:rPr>
          <w:rFonts w:ascii="Times New Roman" w:eastAsia="等线" w:hAnsi="Times New Roman" w:cs="Times New Roman"/>
          <w:b/>
          <w:sz w:val="24"/>
        </w:rPr>
        <w:t>Outstanding Physics Challenges</w:t>
      </w:r>
      <w:bookmarkEnd w:id="16"/>
    </w:p>
    <w:p w14:paraId="61623CBC" w14:textId="77B92A4D" w:rsidR="007A6141" w:rsidRPr="00D042A8" w:rsidRDefault="00000000" w:rsidP="006F15F2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D042A8">
        <w:rPr>
          <w:rFonts w:ascii="Times New Roman" w:eastAsia="等线" w:hAnsi="Times New Roman" w:cs="Times New Roman"/>
          <w:sz w:val="24"/>
        </w:rPr>
        <w:t>Several unresolved issues limit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high-Q steady-state performance on EAST and translate to open risks for ITER:</w:t>
      </w:r>
      <w:r w:rsidR="006F15F2">
        <w:rPr>
          <w:rFonts w:ascii="Times New Roman" w:eastAsia="等线" w:hAnsi="Times New Roman" w:cs="Times New Roman"/>
          <w:sz w:val="24"/>
        </w:rPr>
        <w:t xml:space="preserve"> </w:t>
      </w:r>
      <w:r w:rsidR="006F15F2">
        <w:rPr>
          <w:rFonts w:ascii="Times New Roman" w:eastAsia="等线" w:hAnsi="Times New Roman" w:cs="Times New Roman" w:hint="eastAsia"/>
          <w:sz w:val="24"/>
        </w:rPr>
        <w:t xml:space="preserve">1) </w:t>
      </w:r>
      <w:r w:rsidRPr="00D042A8">
        <w:rPr>
          <w:rFonts w:ascii="Times New Roman" w:eastAsia="等线" w:hAnsi="Times New Roman" w:cs="Times New Roman"/>
          <w:sz w:val="24"/>
        </w:rPr>
        <w:t>Robust formation of wide-radius full-channel ITBs compatible with tungsten impurity control;</w:t>
      </w:r>
      <w:r w:rsidR="006F15F2">
        <w:rPr>
          <w:rFonts w:ascii="Times New Roman" w:hAnsi="Times New Roman" w:cs="Times New Roman" w:hint="eastAsia"/>
          <w:sz w:val="24"/>
        </w:rPr>
        <w:t xml:space="preserve"> 2) </w:t>
      </w:r>
      <w:r w:rsidRPr="00D042A8">
        <w:rPr>
          <w:rFonts w:ascii="Times New Roman" w:eastAsia="等线" w:hAnsi="Times New Roman" w:cs="Times New Roman"/>
          <w:sz w:val="24"/>
        </w:rPr>
        <w:t>Helium ash and tungsten impurity transport under long-pulse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conditions;</w:t>
      </w:r>
      <w:r w:rsidR="006F15F2">
        <w:rPr>
          <w:rFonts w:ascii="Times New Roman" w:hAnsi="Times New Roman" w:cs="Times New Roman" w:hint="eastAsia"/>
          <w:sz w:val="24"/>
        </w:rPr>
        <w:t xml:space="preserve"> 3) </w:t>
      </w:r>
      <w:r w:rsidRPr="00D042A8">
        <w:rPr>
          <w:rFonts w:ascii="Times New Roman" w:eastAsia="等线" w:hAnsi="Times New Roman" w:cs="Times New Roman"/>
          <w:sz w:val="24"/>
        </w:rPr>
        <w:t>Edge pedestal and ELM dynamics under detached divertor plasma;</w:t>
      </w:r>
      <w:r w:rsidR="006F15F2">
        <w:rPr>
          <w:rFonts w:ascii="Times New Roman" w:hAnsi="Times New Roman" w:cs="Times New Roman" w:hint="eastAsia"/>
          <w:sz w:val="24"/>
        </w:rPr>
        <w:t xml:space="preserve"> 4) </w:t>
      </w:r>
      <w:r w:rsidRPr="00D042A8">
        <w:rPr>
          <w:rFonts w:ascii="Times New Roman" w:eastAsia="等线" w:hAnsi="Times New Roman" w:cs="Times New Roman"/>
          <w:sz w:val="24"/>
        </w:rPr>
        <w:t>Resistive wall mode stability limits at low plasma rotation typical of fully non-inductive RF-only discharges;</w:t>
      </w:r>
      <w:r w:rsidR="006F15F2">
        <w:rPr>
          <w:rFonts w:ascii="Times New Roman" w:hAnsi="Times New Roman" w:cs="Times New Roman" w:hint="eastAsia"/>
          <w:sz w:val="24"/>
        </w:rPr>
        <w:t xml:space="preserve"> 5) </w:t>
      </w:r>
      <w:r w:rsidRPr="00D042A8">
        <w:rPr>
          <w:rFonts w:ascii="Times New Roman" w:eastAsia="等线" w:hAnsi="Times New Roman" w:cs="Times New Roman"/>
          <w:sz w:val="24"/>
        </w:rPr>
        <w:t xml:space="preserve">Predictive modelling capability for ITB radial location dependence on </w:t>
      </w:r>
      <w:proofErr w:type="spellStart"/>
      <w:r w:rsidRPr="00D042A8">
        <w:rPr>
          <w:rFonts w:ascii="Times New Roman" w:eastAsia="等线" w:hAnsi="Times New Roman" w:cs="Times New Roman"/>
          <w:sz w:val="24"/>
        </w:rPr>
        <w:t>collisionality</w:t>
      </w:r>
      <w:proofErr w:type="spellEnd"/>
      <w:r w:rsidRPr="00D042A8">
        <w:rPr>
          <w:rFonts w:ascii="Times New Roman" w:eastAsia="等线" w:hAnsi="Times New Roman" w:cs="Times New Roman"/>
          <w:sz w:val="24"/>
        </w:rPr>
        <w:t xml:space="preserve"> and heating mix.</w:t>
      </w:r>
    </w:p>
    <w:p w14:paraId="10C0D07E" w14:textId="2C0C534A" w:rsidR="007A6141" w:rsidRPr="006F15F2" w:rsidRDefault="00000000" w:rsidP="006F15F2">
      <w:pPr>
        <w:pStyle w:val="a9"/>
        <w:numPr>
          <w:ilvl w:val="1"/>
          <w:numId w:val="25"/>
        </w:numPr>
        <w:spacing w:before="300" w:after="120" w:line="360" w:lineRule="auto"/>
        <w:ind w:firstLineChars="0"/>
        <w:jc w:val="both"/>
        <w:outlineLvl w:val="2"/>
        <w:rPr>
          <w:rFonts w:ascii="Times New Roman" w:hAnsi="Times New Roman" w:cs="Times New Roman"/>
          <w:sz w:val="24"/>
        </w:rPr>
      </w:pPr>
      <w:bookmarkStart w:id="17" w:name="heading_20"/>
      <w:r w:rsidRPr="006F15F2">
        <w:rPr>
          <w:rFonts w:ascii="Times New Roman" w:eastAsia="等线" w:hAnsi="Times New Roman" w:cs="Times New Roman"/>
          <w:b/>
          <w:sz w:val="24"/>
        </w:rPr>
        <w:t>Near-Term Experimental Optimization Plans</w:t>
      </w:r>
      <w:bookmarkEnd w:id="17"/>
    </w:p>
    <w:p w14:paraId="75CA7A43" w14:textId="091E4758" w:rsidR="007A6141" w:rsidRPr="00D042A8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 w:hint="eastAsia"/>
          <w:sz w:val="24"/>
        </w:rPr>
      </w:pPr>
      <w:r w:rsidRPr="00D042A8">
        <w:rPr>
          <w:rFonts w:ascii="Times New Roman" w:eastAsia="等线" w:hAnsi="Times New Roman" w:cs="Times New Roman"/>
          <w:sz w:val="24"/>
        </w:rPr>
        <w:t>Based on the parametric scan results, EAST’s upcoming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campaign targets ITER-matched steady-state high-Q scenarios with four key optimizations:</w:t>
      </w:r>
      <w:r w:rsidR="006F15F2">
        <w:rPr>
          <w:rFonts w:ascii="Times New Roman" w:eastAsia="等线" w:hAnsi="Times New Roman" w:cs="Times New Roman"/>
          <w:sz w:val="24"/>
        </w:rPr>
        <w:t xml:space="preserve"> </w:t>
      </w:r>
      <w:r w:rsidR="006F15F2">
        <w:rPr>
          <w:rFonts w:ascii="Times New Roman" w:eastAsia="等线" w:hAnsi="Times New Roman" w:cs="Times New Roman" w:hint="eastAsia"/>
          <w:sz w:val="24"/>
        </w:rPr>
        <w:t xml:space="preserve">a) </w:t>
      </w:r>
      <w:r w:rsidRPr="00D042A8">
        <w:rPr>
          <w:rFonts w:ascii="Times New Roman" w:eastAsia="等线" w:hAnsi="Times New Roman" w:cs="Times New Roman"/>
          <w:sz w:val="24"/>
        </w:rPr>
        <w:t xml:space="preserve">Adopt moderate safety factor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  <m:r>
          <w:rPr>
            <w:rFonts w:ascii="Cambria Math" w:hAnsi="Cambria Math" w:cs="Times New Roman"/>
            <w:sz w:val="24"/>
          </w:rPr>
          <m:t>≈5.0</m:t>
        </m:r>
      </m:oMath>
      <w:r w:rsidRPr="00D042A8">
        <w:rPr>
          <w:rFonts w:ascii="Times New Roman" w:eastAsia="等线" w:hAnsi="Times New Roman" w:cs="Times New Roman"/>
          <w:sz w:val="24"/>
        </w:rPr>
        <w:t>, consistent with ITER baseline steady-state operation;</w:t>
      </w:r>
      <w:r w:rsidR="006F15F2">
        <w:rPr>
          <w:rFonts w:ascii="Times New Roman" w:hAnsi="Times New Roman" w:cs="Times New Roman" w:hint="eastAsia"/>
          <w:sz w:val="24"/>
        </w:rPr>
        <w:t xml:space="preserve"> b) </w:t>
      </w:r>
      <w:r w:rsidRPr="00D042A8">
        <w:rPr>
          <w:rFonts w:ascii="Times New Roman" w:eastAsia="等线" w:hAnsi="Times New Roman" w:cs="Times New Roman"/>
          <w:sz w:val="24"/>
        </w:rPr>
        <w:t>Deploy ITER-standard heating configuration (ECRH + ICRF + NBI) without LHCD to replicate ITER’s current drive composition;</w:t>
      </w:r>
      <w:r w:rsidR="006F15F2">
        <w:rPr>
          <w:rFonts w:ascii="Times New Roman" w:hAnsi="Times New Roman" w:cs="Times New Roman" w:hint="eastAsia"/>
          <w:sz w:val="24"/>
        </w:rPr>
        <w:t xml:space="preserve"> c) </w:t>
      </w:r>
      <w:r w:rsidRPr="00D042A8">
        <w:rPr>
          <w:rFonts w:ascii="Times New Roman" w:eastAsia="等线" w:hAnsi="Times New Roman" w:cs="Times New Roman"/>
          <w:sz w:val="24"/>
        </w:rPr>
        <w:t xml:space="preserve">Enhance ion heating power to adjust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</w:rPr>
          <m:t>/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</w:rPr>
              <m:t>e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ratio, raising ion thermal confinement and fusion reactivity;</w:t>
      </w:r>
      <w:r w:rsidR="006F15F2">
        <w:rPr>
          <w:rFonts w:ascii="Times New Roman" w:hAnsi="Times New Roman" w:cs="Times New Roman" w:hint="eastAsia"/>
          <w:sz w:val="24"/>
        </w:rPr>
        <w:t xml:space="preserve"> </w:t>
      </w:r>
      <w:r w:rsidR="00F1789B">
        <w:rPr>
          <w:rFonts w:ascii="Times New Roman" w:hAnsi="Times New Roman" w:cs="Times New Roman" w:hint="eastAsia"/>
          <w:sz w:val="24"/>
        </w:rPr>
        <w:t xml:space="preserve">d) </w:t>
      </w:r>
      <w:r w:rsidRPr="00D042A8">
        <w:rPr>
          <w:rFonts w:ascii="Times New Roman" w:eastAsia="等线" w:hAnsi="Times New Roman" w:cs="Times New Roman"/>
          <w:sz w:val="24"/>
        </w:rPr>
        <w:t xml:space="preserve">Optimize off-axis ECRH/LHCD to maximize current profile broadening, targeting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min</m:t>
            </m:r>
          </m:sub>
        </m:sSub>
        <m:r>
          <w:rPr>
            <w:rFonts w:ascii="Cambria Math" w:hAnsi="Cambria Math" w:cs="Times New Roman"/>
            <w:sz w:val="24"/>
          </w:rPr>
          <m:t>&gt;2</m:t>
        </m:r>
      </m:oMath>
      <w:r w:rsidRPr="00D042A8">
        <w:rPr>
          <w:rFonts w:ascii="Times New Roman" w:eastAsia="等线" w:hAnsi="Times New Roman" w:cs="Times New Roman"/>
          <w:sz w:val="24"/>
        </w:rPr>
        <w:t xml:space="preserve"> to form wide full-channel ITBs and eliminate low-order tearing modes.</w:t>
      </w:r>
      <w:r w:rsidR="00F1789B">
        <w:rPr>
          <w:rFonts w:ascii="Times New Roman" w:hAnsi="Times New Roman" w:cs="Times New Roman" w:hint="eastAsia"/>
          <w:sz w:val="24"/>
        </w:rPr>
        <w:t xml:space="preserve"> </w:t>
      </w:r>
      <w:r w:rsidRPr="00D042A8">
        <w:rPr>
          <w:rFonts w:ascii="Times New Roman" w:eastAsia="等线" w:hAnsi="Times New Roman" w:cs="Times New Roman"/>
          <w:sz w:val="24"/>
        </w:rPr>
        <w:t xml:space="preserve">Additional wall-conditioning tests will evaluate new </w:t>
      </w:r>
      <w:r w:rsidR="00AA21B0" w:rsidRPr="00D042A8">
        <w:rPr>
          <w:rFonts w:ascii="Times New Roman" w:eastAsia="等线" w:hAnsi="Times New Roman" w:cs="Times New Roman"/>
          <w:sz w:val="24"/>
        </w:rPr>
        <w:t>boronization</w:t>
      </w:r>
      <w:r w:rsidRPr="00D042A8">
        <w:rPr>
          <w:rFonts w:ascii="Times New Roman" w:eastAsia="等线" w:hAnsi="Times New Roman" w:cs="Times New Roman"/>
          <w:sz w:val="24"/>
        </w:rPr>
        <w:t xml:space="preserve"> precursors (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</w:rPr>
              <m:t>6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) to recover confinement lost under boron-coated tungsten walls, reducing the performance gap relative to lithium conditioning. </w:t>
      </w:r>
    </w:p>
    <w:p w14:paraId="73C15B0A" w14:textId="77777777" w:rsidR="007A6141" w:rsidRPr="00D042A8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18" w:name="heading_21"/>
      <w:r w:rsidRPr="00D042A8">
        <w:rPr>
          <w:rFonts w:ascii="Times New Roman" w:eastAsia="等线" w:hAnsi="Times New Roman" w:cs="Times New Roman"/>
          <w:b/>
          <w:sz w:val="24"/>
        </w:rPr>
        <w:t>6. Conclusions</w:t>
      </w:r>
      <w:bookmarkEnd w:id="18"/>
    </w:p>
    <w:p w14:paraId="5BCE94D4" w14:textId="77777777" w:rsidR="007A6141" w:rsidRPr="00D042A8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D042A8">
        <w:rPr>
          <w:rFonts w:ascii="Times New Roman" w:eastAsia="等线" w:hAnsi="Times New Roman" w:cs="Times New Roman"/>
          <w:sz w:val="24"/>
        </w:rPr>
        <w:t>Systematic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plasma experiments and TGLF transport modelling on EAST deliver critical physical insights for ITER’s tungsten-wall steady-state high-Q operation. Fully non-inductive RF-driven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discharges achieve high confinement (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98y2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up to 1.5), high bootstrap fraction (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</w:rPr>
              <m:t>BS</m:t>
            </m:r>
          </m:sub>
        </m:sSub>
        <m:r>
          <w:rPr>
            <w:rFonts w:ascii="Cambria Math" w:hAnsi="Cambria Math" w:cs="Times New Roman"/>
            <w:sz w:val="24"/>
          </w:rPr>
          <m:t>&gt;50</m:t>
        </m:r>
      </m:oMath>
      <w:r w:rsidRPr="00D042A8">
        <w:rPr>
          <w:rFonts w:ascii="Times New Roman" w:eastAsia="等线" w:hAnsi="Times New Roman" w:cs="Times New Roman"/>
          <w:sz w:val="24"/>
        </w:rPr>
        <w:t xml:space="preserve">), stable electron ITBs and mitigated ELM activity. Transport simulations quantitatively confirm Shafranov-shift </w:t>
      </w:r>
      <m:oMath>
        <m:r>
          <w:rPr>
            <w:rFonts w:ascii="Cambria Math" w:hAnsi="Cambria Math" w:cs="Times New Roman"/>
            <w:sz w:val="24"/>
          </w:rPr>
          <m:t>α</m:t>
        </m:r>
      </m:oMath>
      <w:r w:rsidRPr="00D042A8">
        <w:rPr>
          <w:rFonts w:ascii="Times New Roman" w:eastAsia="等线" w:hAnsi="Times New Roman" w:cs="Times New Roman"/>
          <w:sz w:val="24"/>
        </w:rPr>
        <w:t>-stabilization as the dominant turbulence suppression factor, with TEM turbulence governing core electron thermal transport and zonal flow shear providing secondary regulatory suppression of TEM heat flux.</w:t>
      </w:r>
    </w:p>
    <w:p w14:paraId="1F306F25" w14:textId="77777777" w:rsidR="007A6141" w:rsidRPr="00D042A8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D042A8">
        <w:rPr>
          <w:rFonts w:ascii="Times New Roman" w:eastAsia="等线" w:hAnsi="Times New Roman" w:cs="Times New Roman"/>
          <w:sz w:val="24"/>
        </w:rPr>
        <w:lastRenderedPageBreak/>
        <w:t xml:space="preserve">Parametric scans of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, heating schemes and wall conditioning quantify confinement degradation at lower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</w:rPr>
              <m:t>95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and boron-wall induced performance losses, establishing clear optimization directions for future long-pulse campaigns. The EAST high-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</m:oMath>
      <w:r w:rsidRPr="00D042A8">
        <w:rPr>
          <w:rFonts w:ascii="Times New Roman" w:eastAsia="等线" w:hAnsi="Times New Roman" w:cs="Times New Roman"/>
          <w:sz w:val="24"/>
        </w:rPr>
        <w:t xml:space="preserve"> experimental database provides direct technical support for ITER’s revised tungsten-first-wall research programme and establishes a scalable physical framework for steady-state high-performance scenarios in commercial fusion power plants.</w:t>
      </w:r>
    </w:p>
    <w:p w14:paraId="2024A806" w14:textId="77777777" w:rsidR="007A6141" w:rsidRPr="00D042A8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19" w:name="heading_22"/>
      <w:r w:rsidRPr="00D042A8">
        <w:rPr>
          <w:rFonts w:ascii="Times New Roman" w:eastAsia="等线" w:hAnsi="Times New Roman" w:cs="Times New Roman"/>
          <w:b/>
          <w:sz w:val="24"/>
        </w:rPr>
        <w:t>Acknowledgements</w:t>
      </w:r>
      <w:bookmarkEnd w:id="19"/>
    </w:p>
    <w:p w14:paraId="394EAFE4" w14:textId="2294CE0D" w:rsidR="007A6141" w:rsidRPr="00AA21B0" w:rsidRDefault="00000000" w:rsidP="00D042A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AA21B0">
        <w:rPr>
          <w:rFonts w:ascii="Times New Roman" w:eastAsia="等线" w:hAnsi="Times New Roman" w:cs="Times New Roman"/>
          <w:sz w:val="24"/>
        </w:rPr>
        <w:t xml:space="preserve">This work is </w:t>
      </w:r>
      <w:r w:rsidR="00AA21B0" w:rsidRPr="00AA21B0">
        <w:rPr>
          <w:rFonts w:ascii="Times New Roman" w:eastAsia="等线" w:hAnsi="Times New Roman" w:cs="Times New Roman"/>
          <w:sz w:val="24"/>
        </w:rPr>
        <w:t>supported</w:t>
      </w:r>
      <w:r w:rsidR="00AA21B0" w:rsidRPr="00AA21B0">
        <w:rPr>
          <w:rFonts w:ascii="Times New Roman" w:eastAsiaTheme="minorHAnsi" w:hAnsi="Times New Roman" w:cs="Times New Roman"/>
          <w:sz w:val="24"/>
        </w:rPr>
        <w:t xml:space="preserve"> </w:t>
      </w:r>
      <w:r w:rsidR="00AA21B0" w:rsidRPr="00AA21B0">
        <w:rPr>
          <w:rFonts w:ascii="Times New Roman" w:eastAsiaTheme="minorHAnsi" w:hAnsi="Times New Roman" w:cs="Times New Roman"/>
          <w:sz w:val="24"/>
        </w:rPr>
        <w:t>by the National MCF Energy R&amp;D Program</w:t>
      </w:r>
      <w:r w:rsidR="00AA21B0" w:rsidRPr="00AA21B0">
        <w:rPr>
          <w:rFonts w:ascii="Times New Roman" w:eastAsia="等线" w:hAnsi="Times New Roman" w:cs="Times New Roman"/>
          <w:sz w:val="24"/>
        </w:rPr>
        <w:t xml:space="preserve"> </w:t>
      </w:r>
      <w:r w:rsidR="00AA21B0">
        <w:rPr>
          <w:rFonts w:ascii="Times New Roman" w:eastAsia="等线" w:hAnsi="Times New Roman" w:cs="Times New Roman" w:hint="eastAsia"/>
          <w:sz w:val="24"/>
        </w:rPr>
        <w:t xml:space="preserve">of </w:t>
      </w:r>
      <w:r w:rsidR="00AA21B0" w:rsidRPr="00AA21B0">
        <w:rPr>
          <w:rFonts w:ascii="Times New Roman" w:eastAsia="等线" w:hAnsi="Times New Roman" w:cs="Times New Roman"/>
          <w:sz w:val="24"/>
        </w:rPr>
        <w:t>China</w:t>
      </w:r>
      <w:r w:rsidR="00AA21B0" w:rsidRPr="00AA21B0">
        <w:rPr>
          <w:rFonts w:ascii="Times New Roman" w:eastAsiaTheme="minorHAnsi" w:hAnsi="Times New Roman" w:cs="Times New Roman"/>
          <w:sz w:val="24"/>
        </w:rPr>
        <w:t xml:space="preserve"> (2022YFE03050000</w:t>
      </w:r>
      <w:r w:rsidR="00AA21B0" w:rsidRPr="00AA21B0">
        <w:rPr>
          <w:rFonts w:ascii="Times New Roman" w:eastAsiaTheme="minorHAnsi" w:hAnsi="Times New Roman" w:cs="Times New Roman"/>
          <w:sz w:val="24"/>
        </w:rPr>
        <w:t>)</w:t>
      </w:r>
      <w:r w:rsidRPr="00AA21B0">
        <w:rPr>
          <w:rFonts w:ascii="Times New Roman" w:eastAsia="等线" w:hAnsi="Times New Roman" w:cs="Times New Roman"/>
          <w:sz w:val="24"/>
        </w:rPr>
        <w:t>, and ITPA IOS joint research activities. The authors acknowledge the TGLF modelling team for transport simulation support and EPS 2026 conference organizers for presentation opportunity.</w:t>
      </w:r>
    </w:p>
    <w:p w14:paraId="1ABEA322" w14:textId="77777777" w:rsidR="007A6141" w:rsidRPr="00D042A8" w:rsidRDefault="00000000" w:rsidP="00D042A8">
      <w:pPr>
        <w:spacing w:before="320" w:after="120" w:line="360" w:lineRule="auto"/>
        <w:jc w:val="both"/>
        <w:outlineLvl w:val="1"/>
        <w:rPr>
          <w:rFonts w:ascii="Times New Roman" w:hAnsi="Times New Roman" w:cs="Times New Roman"/>
          <w:sz w:val="24"/>
        </w:rPr>
      </w:pPr>
      <w:bookmarkStart w:id="20" w:name="heading_23"/>
      <w:r w:rsidRPr="00D042A8">
        <w:rPr>
          <w:rFonts w:ascii="Times New Roman" w:eastAsia="等线" w:hAnsi="Times New Roman" w:cs="Times New Roman"/>
          <w:b/>
          <w:sz w:val="24"/>
        </w:rPr>
        <w:t>References</w:t>
      </w:r>
      <w:bookmarkEnd w:id="20"/>
    </w:p>
    <w:p w14:paraId="1E851902" w14:textId="77777777" w:rsidR="007A6141" w:rsidRPr="00D042A8" w:rsidRDefault="00000000" w:rsidP="00D042A8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D042A8">
        <w:rPr>
          <w:rFonts w:ascii="Times New Roman" w:eastAsia="等线" w:hAnsi="Times New Roman" w:cs="Times New Roman"/>
          <w:sz w:val="24"/>
        </w:rPr>
        <w:t>[1] Garofalo A M et al, Fusion Eng. Des. 89 (2014) 1088</w:t>
      </w:r>
      <w:r w:rsidRPr="00D042A8">
        <w:rPr>
          <w:rFonts w:ascii="Times New Roman" w:eastAsia="等线" w:hAnsi="Times New Roman" w:cs="Times New Roman"/>
          <w:sz w:val="24"/>
        </w:rPr>
        <w:br/>
        <w:t>[2] Huang J et al, Phys. Plasmas 30 (2023) 062504</w:t>
      </w:r>
      <w:r w:rsidRPr="00D042A8">
        <w:rPr>
          <w:rFonts w:ascii="Times New Roman" w:eastAsia="等线" w:hAnsi="Times New Roman" w:cs="Times New Roman"/>
          <w:sz w:val="24"/>
        </w:rPr>
        <w:br/>
        <w:t xml:space="preserve">[3] Gong X et al, </w:t>
      </w:r>
      <w:proofErr w:type="spellStart"/>
      <w:r w:rsidRPr="00D042A8">
        <w:rPr>
          <w:rFonts w:ascii="Times New Roman" w:eastAsia="等线" w:hAnsi="Times New Roman" w:cs="Times New Roman"/>
          <w:sz w:val="24"/>
        </w:rPr>
        <w:t>Nucl</w:t>
      </w:r>
      <w:proofErr w:type="spellEnd"/>
      <w:r w:rsidRPr="00D042A8">
        <w:rPr>
          <w:rFonts w:ascii="Times New Roman" w:eastAsia="等线" w:hAnsi="Times New Roman" w:cs="Times New Roman"/>
          <w:sz w:val="24"/>
        </w:rPr>
        <w:t>. Fusion 64 (2024) 116026</w:t>
      </w:r>
      <w:r w:rsidRPr="00D042A8">
        <w:rPr>
          <w:rFonts w:ascii="Times New Roman" w:eastAsia="等线" w:hAnsi="Times New Roman" w:cs="Times New Roman"/>
          <w:sz w:val="24"/>
        </w:rPr>
        <w:br/>
        <w:t>[4] Loarte A, Plasma Phys. Control. Fusion 67 (2025) 054002</w:t>
      </w:r>
      <w:r w:rsidRPr="00D042A8">
        <w:rPr>
          <w:rFonts w:ascii="Times New Roman" w:eastAsia="等线" w:hAnsi="Times New Roman" w:cs="Times New Roman"/>
          <w:sz w:val="24"/>
        </w:rPr>
        <w:br/>
        <w:t>[5] Qian J P et al, Phys. Plasmas 28 (2021) 042508</w:t>
      </w:r>
      <w:r w:rsidRPr="00D042A8">
        <w:rPr>
          <w:rFonts w:ascii="Times New Roman" w:eastAsia="等线" w:hAnsi="Times New Roman" w:cs="Times New Roman"/>
          <w:sz w:val="24"/>
        </w:rPr>
        <w:br/>
        <w:t>[6] Pitts R A et al, Nat. Mater. Eng. 2 (2019) 928</w:t>
      </w:r>
    </w:p>
    <w:p w14:paraId="15799D68" w14:textId="27F6640F" w:rsidR="007A6141" w:rsidRDefault="007A6141">
      <w:pPr>
        <w:spacing w:before="120" w:after="120" w:line="288" w:lineRule="auto"/>
        <w:rPr>
          <w:rFonts w:hint="eastAsia"/>
        </w:rPr>
      </w:pPr>
    </w:p>
    <w:sectPr w:rsidR="007A6141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3D9B" w14:textId="77777777" w:rsidR="003347AF" w:rsidRDefault="003347A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457DC0" w14:textId="77777777" w:rsidR="003347AF" w:rsidRDefault="003347A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DD53" w14:textId="77777777" w:rsidR="003347AF" w:rsidRDefault="003347A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7C0A02" w14:textId="77777777" w:rsidR="003347AF" w:rsidRDefault="003347A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532"/>
    <w:multiLevelType w:val="multilevel"/>
    <w:tmpl w:val="4F8C09D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C1591"/>
    <w:multiLevelType w:val="multilevel"/>
    <w:tmpl w:val="1AC0AC1C"/>
    <w:lvl w:ilvl="0">
      <w:start w:val="3"/>
      <w:numFmt w:val="decimal"/>
      <w:lvlText w:val="%1"/>
      <w:lvlJc w:val="left"/>
      <w:pPr>
        <w:ind w:left="360" w:hanging="360"/>
      </w:pPr>
      <w:rPr>
        <w:rFonts w:eastAsia="等线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等线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等线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等线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等线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等线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等线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等线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等线" w:hint="default"/>
        <w:b/>
      </w:rPr>
    </w:lvl>
  </w:abstractNum>
  <w:abstractNum w:abstractNumId="2" w15:restartNumberingAfterBreak="0">
    <w:nsid w:val="137C3A5C"/>
    <w:multiLevelType w:val="multilevel"/>
    <w:tmpl w:val="55AAC65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62D4A"/>
    <w:multiLevelType w:val="multilevel"/>
    <w:tmpl w:val="5AACFA2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A13FD"/>
    <w:multiLevelType w:val="multilevel"/>
    <w:tmpl w:val="0524ABF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65044B"/>
    <w:multiLevelType w:val="multilevel"/>
    <w:tmpl w:val="DCD0997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BD1F2F"/>
    <w:multiLevelType w:val="multilevel"/>
    <w:tmpl w:val="F7B0A60C"/>
    <w:lvl w:ilvl="0">
      <w:start w:val="5"/>
      <w:numFmt w:val="decimal"/>
      <w:lvlText w:val="%1"/>
      <w:lvlJc w:val="left"/>
      <w:pPr>
        <w:ind w:left="360" w:hanging="360"/>
      </w:pPr>
      <w:rPr>
        <w:rFonts w:eastAsia="等线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等线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等线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等线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等线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等线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等线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等线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等线" w:hint="default"/>
        <w:b/>
      </w:rPr>
    </w:lvl>
  </w:abstractNum>
  <w:abstractNum w:abstractNumId="7" w15:restartNumberingAfterBreak="0">
    <w:nsid w:val="287705DB"/>
    <w:multiLevelType w:val="multilevel"/>
    <w:tmpl w:val="B6C66E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1620B2"/>
    <w:multiLevelType w:val="multilevel"/>
    <w:tmpl w:val="16EA8B3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DE0E41"/>
    <w:multiLevelType w:val="multilevel"/>
    <w:tmpl w:val="E97E171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6422E5"/>
    <w:multiLevelType w:val="hybridMultilevel"/>
    <w:tmpl w:val="CFFA3AB8"/>
    <w:lvl w:ilvl="0" w:tplc="F3A0D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679DE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4DAD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06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89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6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81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2B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0B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146DAE"/>
    <w:multiLevelType w:val="multilevel"/>
    <w:tmpl w:val="15108AB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5F7E07"/>
    <w:multiLevelType w:val="hybridMultilevel"/>
    <w:tmpl w:val="2DC41292"/>
    <w:lvl w:ilvl="0" w:tplc="B660F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6D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A4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21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25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C6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05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4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C1B09BD"/>
    <w:multiLevelType w:val="multilevel"/>
    <w:tmpl w:val="84EE2A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1F1570"/>
    <w:multiLevelType w:val="multilevel"/>
    <w:tmpl w:val="261A2F7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6352BF"/>
    <w:multiLevelType w:val="multilevel"/>
    <w:tmpl w:val="497EDB5E"/>
    <w:lvl w:ilvl="0">
      <w:start w:val="2"/>
      <w:numFmt w:val="decimal"/>
      <w:lvlText w:val="%1"/>
      <w:lvlJc w:val="left"/>
      <w:pPr>
        <w:ind w:left="360" w:hanging="360"/>
      </w:pPr>
      <w:rPr>
        <w:rFonts w:eastAsia="等线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等线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等线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等线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等线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等线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等线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等线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等线" w:hint="default"/>
        <w:b/>
      </w:rPr>
    </w:lvl>
  </w:abstractNum>
  <w:abstractNum w:abstractNumId="16" w15:restartNumberingAfterBreak="0">
    <w:nsid w:val="42074509"/>
    <w:multiLevelType w:val="multilevel"/>
    <w:tmpl w:val="5028722A"/>
    <w:lvl w:ilvl="0">
      <w:start w:val="4"/>
      <w:numFmt w:val="decimal"/>
      <w:lvlText w:val="%1"/>
      <w:lvlJc w:val="left"/>
      <w:pPr>
        <w:ind w:left="360" w:hanging="360"/>
      </w:pPr>
      <w:rPr>
        <w:rFonts w:eastAsia="等线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等线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等线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等线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等线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等线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等线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等线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等线" w:hint="default"/>
        <w:b/>
      </w:rPr>
    </w:lvl>
  </w:abstractNum>
  <w:abstractNum w:abstractNumId="17" w15:restartNumberingAfterBreak="0">
    <w:nsid w:val="465B61AB"/>
    <w:multiLevelType w:val="multilevel"/>
    <w:tmpl w:val="513E523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B55925"/>
    <w:multiLevelType w:val="multilevel"/>
    <w:tmpl w:val="304AE5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C71753"/>
    <w:multiLevelType w:val="multilevel"/>
    <w:tmpl w:val="E844FA0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340CF6"/>
    <w:multiLevelType w:val="multilevel"/>
    <w:tmpl w:val="E13C34D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526D99"/>
    <w:multiLevelType w:val="multilevel"/>
    <w:tmpl w:val="B7AA702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69548C"/>
    <w:multiLevelType w:val="hybridMultilevel"/>
    <w:tmpl w:val="730AAFE0"/>
    <w:lvl w:ilvl="0" w:tplc="AD948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651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AB82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49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6B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E5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8E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C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81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9D71D4"/>
    <w:multiLevelType w:val="multilevel"/>
    <w:tmpl w:val="4E16374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1A3BE6"/>
    <w:multiLevelType w:val="multilevel"/>
    <w:tmpl w:val="6BFE56D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633DBB"/>
    <w:multiLevelType w:val="multilevel"/>
    <w:tmpl w:val="CB4E254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2566356">
    <w:abstractNumId w:val="14"/>
  </w:num>
  <w:num w:numId="2" w16cid:durableId="93937815">
    <w:abstractNumId w:val="24"/>
  </w:num>
  <w:num w:numId="3" w16cid:durableId="664474258">
    <w:abstractNumId w:val="5"/>
  </w:num>
  <w:num w:numId="4" w16cid:durableId="1336881688">
    <w:abstractNumId w:val="7"/>
  </w:num>
  <w:num w:numId="5" w16cid:durableId="1738283397">
    <w:abstractNumId w:val="17"/>
  </w:num>
  <w:num w:numId="6" w16cid:durableId="1338800289">
    <w:abstractNumId w:val="18"/>
  </w:num>
  <w:num w:numId="7" w16cid:durableId="140318314">
    <w:abstractNumId w:val="11"/>
  </w:num>
  <w:num w:numId="8" w16cid:durableId="1192525663">
    <w:abstractNumId w:val="0"/>
  </w:num>
  <w:num w:numId="9" w16cid:durableId="1601838593">
    <w:abstractNumId w:val="25"/>
  </w:num>
  <w:num w:numId="10" w16cid:durableId="217789518">
    <w:abstractNumId w:val="13"/>
  </w:num>
  <w:num w:numId="11" w16cid:durableId="1199665124">
    <w:abstractNumId w:val="23"/>
  </w:num>
  <w:num w:numId="12" w16cid:durableId="571896208">
    <w:abstractNumId w:val="21"/>
  </w:num>
  <w:num w:numId="13" w16cid:durableId="1646928137">
    <w:abstractNumId w:val="2"/>
  </w:num>
  <w:num w:numId="14" w16cid:durableId="593826358">
    <w:abstractNumId w:val="19"/>
  </w:num>
  <w:num w:numId="15" w16cid:durableId="197473793">
    <w:abstractNumId w:val="9"/>
  </w:num>
  <w:num w:numId="16" w16cid:durableId="581380007">
    <w:abstractNumId w:val="8"/>
  </w:num>
  <w:num w:numId="17" w16cid:durableId="899636136">
    <w:abstractNumId w:val="3"/>
  </w:num>
  <w:num w:numId="18" w16cid:durableId="562566611">
    <w:abstractNumId w:val="20"/>
  </w:num>
  <w:num w:numId="19" w16cid:durableId="1576470000">
    <w:abstractNumId w:val="4"/>
  </w:num>
  <w:num w:numId="20" w16cid:durableId="495996715">
    <w:abstractNumId w:val="15"/>
  </w:num>
  <w:num w:numId="21" w16cid:durableId="777289358">
    <w:abstractNumId w:val="12"/>
  </w:num>
  <w:num w:numId="22" w16cid:durableId="473983898">
    <w:abstractNumId w:val="22"/>
  </w:num>
  <w:num w:numId="23" w16cid:durableId="743264890">
    <w:abstractNumId w:val="1"/>
  </w:num>
  <w:num w:numId="24" w16cid:durableId="346367781">
    <w:abstractNumId w:val="16"/>
  </w:num>
  <w:num w:numId="25" w16cid:durableId="1467118614">
    <w:abstractNumId w:val="6"/>
  </w:num>
  <w:num w:numId="26" w16cid:durableId="141428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41"/>
    <w:rsid w:val="003347AF"/>
    <w:rsid w:val="00464E81"/>
    <w:rsid w:val="0050433B"/>
    <w:rsid w:val="0051418C"/>
    <w:rsid w:val="005F20AE"/>
    <w:rsid w:val="0069351F"/>
    <w:rsid w:val="006F15F2"/>
    <w:rsid w:val="007540E2"/>
    <w:rsid w:val="00787C12"/>
    <w:rsid w:val="007A6141"/>
    <w:rsid w:val="007B6BD8"/>
    <w:rsid w:val="00A1182F"/>
    <w:rsid w:val="00AA21B0"/>
    <w:rsid w:val="00B40392"/>
    <w:rsid w:val="00CF0636"/>
    <w:rsid w:val="00D042A8"/>
    <w:rsid w:val="00E32DC8"/>
    <w:rsid w:val="00E67BF6"/>
    <w:rsid w:val="00E95B52"/>
    <w:rsid w:val="00F1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79EE0"/>
  <w15:docId w15:val="{5F8F868F-679A-42D1-9EC1-A4A9F642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E8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E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E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E81"/>
    <w:rPr>
      <w:sz w:val="18"/>
      <w:szCs w:val="18"/>
    </w:rPr>
  </w:style>
  <w:style w:type="character" w:styleId="a7">
    <w:name w:val="Hyperlink"/>
    <w:basedOn w:val="a0"/>
    <w:uiPriority w:val="99"/>
    <w:unhideWhenUsed/>
    <w:rsid w:val="00464E81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64E8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32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2024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Xianzu Gong</cp:lastModifiedBy>
  <cp:revision>3</cp:revision>
  <dcterms:created xsi:type="dcterms:W3CDTF">2026-06-28T10:57:00Z</dcterms:created>
  <dcterms:modified xsi:type="dcterms:W3CDTF">2026-06-28T17:19:00Z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{"Label":"1","ContentProducer":"001191110102MACQD9K64010000","ProduceID":"7655590947470232516","ReservedCode1":"","ContentPropagator":"","PropagateID":"","ReservedCode2":""}</vt:lpwstr>
  </property>
</Properties>
</file>