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BF8A70" w14:textId="42A24A64" w:rsidR="000277F0" w:rsidRDefault="00AD0385" w:rsidP="001D50CA">
      <w:pPr>
        <w:pStyle w:val="a4"/>
        <w:spacing w:after="120"/>
      </w:pPr>
      <w:r w:rsidRPr="00AD0385">
        <w:t>Simultaneous Nitrogen Fixation and CO</w:t>
      </w:r>
      <w:r w:rsidRPr="00AD0385">
        <w:rPr>
          <w:vertAlign w:val="subscript"/>
        </w:rPr>
        <w:t>2</w:t>
      </w:r>
      <w:r w:rsidRPr="00AD0385">
        <w:t xml:space="preserve"> Conversion via Magnetic Field Stabilized Glow Discharge (MSGD)</w:t>
      </w:r>
    </w:p>
    <w:p w14:paraId="43BF8A71" w14:textId="17B408B0" w:rsidR="000277F0" w:rsidRPr="006508B3" w:rsidRDefault="00AD0385" w:rsidP="001D50CA">
      <w:pPr>
        <w:pStyle w:val="a3"/>
        <w:spacing w:before="231" w:after="120"/>
        <w:ind w:left="264" w:right="271" w:firstLine="0"/>
        <w:jc w:val="center"/>
        <w:rPr>
          <w:vertAlign w:val="superscript"/>
          <w:lang w:val="en-GB"/>
        </w:rPr>
      </w:pPr>
      <w:proofErr w:type="spellStart"/>
      <w:r w:rsidRPr="00AD0385">
        <w:rPr>
          <w:lang w:val="en-GB"/>
        </w:rPr>
        <w:t>Yuexi</w:t>
      </w:r>
      <w:proofErr w:type="spellEnd"/>
      <w:r w:rsidRPr="00AD0385">
        <w:rPr>
          <w:lang w:val="en-GB"/>
        </w:rPr>
        <w:t xml:space="preserve"> Liu</w:t>
      </w:r>
      <w:r w:rsidRPr="00AD0385">
        <w:rPr>
          <w:vertAlign w:val="superscript"/>
          <w:lang w:val="en-GB"/>
        </w:rPr>
        <w:t>1</w:t>
      </w:r>
      <w:r w:rsidRPr="00AD0385">
        <w:rPr>
          <w:lang w:val="en-GB"/>
        </w:rPr>
        <w:t>, Yiqian Li</w:t>
      </w:r>
      <w:r w:rsidRPr="00AD0385">
        <w:rPr>
          <w:vertAlign w:val="superscript"/>
          <w:lang w:val="en-GB"/>
        </w:rPr>
        <w:t>1</w:t>
      </w:r>
      <w:r w:rsidRPr="00AD0385">
        <w:rPr>
          <w:lang w:val="en-GB"/>
        </w:rPr>
        <w:t xml:space="preserve">, </w:t>
      </w:r>
      <w:proofErr w:type="spellStart"/>
      <w:r w:rsidRPr="00AD0385">
        <w:rPr>
          <w:lang w:val="en-GB"/>
        </w:rPr>
        <w:t>Licheng</w:t>
      </w:r>
      <w:proofErr w:type="spellEnd"/>
      <w:r w:rsidRPr="00AD0385">
        <w:rPr>
          <w:lang w:val="en-GB"/>
        </w:rPr>
        <w:t xml:space="preserve"> Yang</w:t>
      </w:r>
      <w:r w:rsidRPr="00AD0385">
        <w:rPr>
          <w:vertAlign w:val="superscript"/>
          <w:lang w:val="en-GB"/>
        </w:rPr>
        <w:t>1</w:t>
      </w:r>
      <w:r w:rsidRPr="00AD0385">
        <w:rPr>
          <w:lang w:val="en-GB"/>
        </w:rPr>
        <w:t xml:space="preserve">, </w:t>
      </w:r>
      <w:proofErr w:type="spellStart"/>
      <w:r w:rsidRPr="00AD0385">
        <w:rPr>
          <w:lang w:val="en-GB"/>
        </w:rPr>
        <w:t>Lanlan</w:t>
      </w:r>
      <w:proofErr w:type="spellEnd"/>
      <w:r w:rsidRPr="00AD0385">
        <w:rPr>
          <w:lang w:val="en-GB"/>
        </w:rPr>
        <w:t xml:space="preserve"> Nie</w:t>
      </w:r>
      <w:r w:rsidRPr="00AD0385">
        <w:rPr>
          <w:vertAlign w:val="superscript"/>
          <w:lang w:val="en-GB"/>
        </w:rPr>
        <w:t>1</w:t>
      </w:r>
      <w:r w:rsidRPr="00AD0385">
        <w:rPr>
          <w:lang w:val="en-GB"/>
        </w:rPr>
        <w:t xml:space="preserve">, </w:t>
      </w:r>
      <w:proofErr w:type="spellStart"/>
      <w:r w:rsidRPr="00AD0385">
        <w:rPr>
          <w:lang w:val="en-GB"/>
        </w:rPr>
        <w:t>XinPei</w:t>
      </w:r>
      <w:proofErr w:type="spellEnd"/>
      <w:r w:rsidRPr="00AD0385">
        <w:rPr>
          <w:lang w:val="en-GB"/>
        </w:rPr>
        <w:t xml:space="preserve"> Lu</w:t>
      </w:r>
      <w:r w:rsidRPr="00AD0385">
        <w:rPr>
          <w:vertAlign w:val="superscript"/>
          <w:lang w:val="en-GB"/>
        </w:rPr>
        <w:t>1</w:t>
      </w:r>
      <w:r w:rsidRPr="00AD0385">
        <w:rPr>
          <w:lang w:val="en-GB"/>
        </w:rPr>
        <w:t xml:space="preserve">, </w:t>
      </w:r>
      <w:proofErr w:type="spellStart"/>
      <w:r w:rsidRPr="00AD0385">
        <w:rPr>
          <w:lang w:val="en-GB"/>
        </w:rPr>
        <w:t>Dawei</w:t>
      </w:r>
      <w:proofErr w:type="spellEnd"/>
      <w:r w:rsidRPr="00AD0385">
        <w:rPr>
          <w:lang w:val="en-GB"/>
        </w:rPr>
        <w:t xml:space="preserve"> Liu</w:t>
      </w:r>
      <w:r w:rsidRPr="00AD0385">
        <w:rPr>
          <w:vertAlign w:val="superscript"/>
          <w:lang w:val="en-GB"/>
        </w:rPr>
        <w:t>1</w:t>
      </w:r>
    </w:p>
    <w:p w14:paraId="43BF8A72" w14:textId="286238EF" w:rsidR="000277F0" w:rsidRDefault="00332688" w:rsidP="001D50CA">
      <w:pPr>
        <w:spacing w:after="120"/>
        <w:ind w:left="272" w:right="269"/>
        <w:jc w:val="center"/>
        <w:rPr>
          <w:i/>
          <w:iCs/>
          <w:sz w:val="24"/>
          <w:szCs w:val="24"/>
          <w:lang w:val="en-GB"/>
        </w:rPr>
      </w:pPr>
      <w:r w:rsidRPr="3D4ADC2D">
        <w:rPr>
          <w:position w:val="9"/>
          <w:sz w:val="18"/>
          <w:szCs w:val="18"/>
          <w:lang w:val="en-GB"/>
        </w:rPr>
        <w:t>1</w:t>
      </w:r>
      <w:r w:rsidR="00AD0385" w:rsidRPr="00AD0385">
        <w:t xml:space="preserve"> </w:t>
      </w:r>
      <w:r w:rsidR="00AD0385" w:rsidRPr="00AD0385">
        <w:rPr>
          <w:i/>
          <w:iCs/>
          <w:sz w:val="24"/>
          <w:szCs w:val="24"/>
          <w:lang w:val="en-GB"/>
        </w:rPr>
        <w:t xml:space="preserve">State Key Laboratory of Advanced Electromagnetic Engineering and Technology, School of Electrical and Electronic Engineering, Huazhong University of Science and Technology, Wuhan, </w:t>
      </w:r>
      <w:proofErr w:type="spellStart"/>
      <w:r w:rsidR="00AD0385" w:rsidRPr="00AD0385">
        <w:rPr>
          <w:i/>
          <w:iCs/>
          <w:sz w:val="24"/>
          <w:szCs w:val="24"/>
          <w:lang w:val="en-GB"/>
        </w:rPr>
        <w:t>HuBei</w:t>
      </w:r>
      <w:proofErr w:type="spellEnd"/>
      <w:r w:rsidR="00AD0385" w:rsidRPr="00AD0385">
        <w:rPr>
          <w:i/>
          <w:iCs/>
          <w:sz w:val="24"/>
          <w:szCs w:val="24"/>
          <w:lang w:val="en-GB"/>
        </w:rPr>
        <w:t>, China</w:t>
      </w:r>
    </w:p>
    <w:p w14:paraId="2A1B77F9" w14:textId="77777777" w:rsidR="00F65F9D" w:rsidRPr="00F65F9D" w:rsidRDefault="00F65F9D" w:rsidP="00F65F9D">
      <w:pPr>
        <w:pStyle w:val="a5"/>
        <w:numPr>
          <w:ilvl w:val="0"/>
          <w:numId w:val="2"/>
        </w:numPr>
        <w:autoSpaceDE/>
        <w:autoSpaceDN/>
        <w:spacing w:before="0" w:line="278" w:lineRule="auto"/>
        <w:ind w:left="357" w:hanging="357"/>
        <w:rPr>
          <w:b/>
          <w:sz w:val="24"/>
          <w:szCs w:val="24"/>
        </w:rPr>
      </w:pPr>
      <w:r w:rsidRPr="00F65F9D">
        <w:rPr>
          <w:b/>
          <w:sz w:val="24"/>
          <w:szCs w:val="24"/>
        </w:rPr>
        <w:t>Introduction</w:t>
      </w:r>
    </w:p>
    <w:p w14:paraId="406B7DB4" w14:textId="173909AC" w:rsidR="00F65F9D" w:rsidRPr="00F65F9D" w:rsidRDefault="00F65F9D" w:rsidP="00F65F9D">
      <w:pPr>
        <w:pStyle w:val="a3"/>
        <w:spacing w:line="357" w:lineRule="auto"/>
        <w:rPr>
          <w:lang w:val="en-GB"/>
        </w:rPr>
      </w:pPr>
      <w:r w:rsidRPr="00F65F9D">
        <w:rPr>
          <w:lang w:val="en-GB"/>
        </w:rPr>
        <w:t>The sustainable conversion of abundant small molecules such as N</w:t>
      </w:r>
      <w:r w:rsidRPr="00F65F9D">
        <w:rPr>
          <w:vertAlign w:val="subscript"/>
          <w:lang w:val="en-GB"/>
        </w:rPr>
        <w:t>2</w:t>
      </w:r>
      <w:r w:rsidRPr="00F65F9D">
        <w:rPr>
          <w:lang w:val="en-GB"/>
        </w:rPr>
        <w:t xml:space="preserve"> and CO</w:t>
      </w:r>
      <w:r w:rsidRPr="00F65F9D">
        <w:rPr>
          <w:vertAlign w:val="subscript"/>
          <w:lang w:val="en-GB"/>
        </w:rPr>
        <w:t>2</w:t>
      </w:r>
      <w:r w:rsidRPr="00F65F9D">
        <w:rPr>
          <w:lang w:val="en-GB"/>
        </w:rPr>
        <w:t xml:space="preserve"> is of great importance for future chemical and energy systems. Nitrogen fixation (NF) is traditionally dominated by the Haber–Bosch process, which requires high temperature and pressure and relies heavily on fossil</w:t>
      </w:r>
      <w:r w:rsidR="0008479F">
        <w:rPr>
          <w:lang w:val="en-GB"/>
        </w:rPr>
        <w:t>/</w:t>
      </w:r>
      <w:r w:rsidRPr="00F65F9D">
        <w:rPr>
          <w:lang w:val="en-GB"/>
        </w:rPr>
        <w:t>fuel</w:t>
      </w:r>
      <w:r w:rsidR="0008479F">
        <w:rPr>
          <w:lang w:val="en-GB"/>
        </w:rPr>
        <w:t>/</w:t>
      </w:r>
      <w:r w:rsidRPr="00F65F9D">
        <w:rPr>
          <w:lang w:val="en-GB"/>
        </w:rPr>
        <w:t>based hydrogen. Meanwhile, CO</w:t>
      </w:r>
      <w:r w:rsidRPr="00F65F9D">
        <w:rPr>
          <w:vertAlign w:val="subscript"/>
          <w:lang w:val="en-GB"/>
        </w:rPr>
        <w:t>2</w:t>
      </w:r>
      <w:r w:rsidRPr="00F65F9D">
        <w:rPr>
          <w:lang w:val="en-GB"/>
        </w:rPr>
        <w:t xml:space="preserve"> conversion into value</w:t>
      </w:r>
      <w:r w:rsidR="0008479F">
        <w:rPr>
          <w:lang w:val="en-GB"/>
        </w:rPr>
        <w:t>/</w:t>
      </w:r>
      <w:r w:rsidRPr="00F65F9D">
        <w:rPr>
          <w:lang w:val="en-GB"/>
        </w:rPr>
        <w:t>added chemicals such as CO provides a potential route for carbon recycling.</w:t>
      </w:r>
    </w:p>
    <w:p w14:paraId="76C24AC3" w14:textId="4995DE47" w:rsidR="00F65F9D" w:rsidRPr="00F65F9D" w:rsidRDefault="00F65F9D" w:rsidP="00F65F9D">
      <w:pPr>
        <w:pStyle w:val="a3"/>
        <w:spacing w:line="357" w:lineRule="auto"/>
        <w:rPr>
          <w:lang w:val="en-GB"/>
        </w:rPr>
      </w:pPr>
      <w:r w:rsidRPr="00F65F9D">
        <w:rPr>
          <w:lang w:val="en-GB"/>
        </w:rPr>
        <w:t>Non</w:t>
      </w:r>
      <w:r w:rsidR="0008479F">
        <w:rPr>
          <w:lang w:val="en-GB"/>
        </w:rPr>
        <w:t>/</w:t>
      </w:r>
      <w:r w:rsidRPr="00F65F9D">
        <w:rPr>
          <w:lang w:val="en-GB"/>
        </w:rPr>
        <w:t>equilibrium plasma has attracted increasing attention because energetic electrons can activate stable molecules under ambient or near</w:t>
      </w:r>
      <w:r w:rsidR="0008479F">
        <w:rPr>
          <w:lang w:val="en-GB"/>
        </w:rPr>
        <w:t>/</w:t>
      </w:r>
      <w:r w:rsidRPr="00F65F9D">
        <w:rPr>
          <w:lang w:val="en-GB"/>
        </w:rPr>
        <w:t>ambient conditions. In plasma systems, N</w:t>
      </w:r>
      <w:r w:rsidRPr="00F65F9D">
        <w:rPr>
          <w:vertAlign w:val="subscript"/>
          <w:lang w:val="en-GB"/>
        </w:rPr>
        <w:t>2</w:t>
      </w:r>
      <w:r w:rsidRPr="00F65F9D">
        <w:rPr>
          <w:lang w:val="en-GB"/>
        </w:rPr>
        <w:t xml:space="preserve"> and CO</w:t>
      </w:r>
      <w:r w:rsidRPr="00F65F9D">
        <w:rPr>
          <w:vertAlign w:val="subscript"/>
          <w:lang w:val="en-GB"/>
        </w:rPr>
        <w:t>2</w:t>
      </w:r>
      <w:r w:rsidRPr="00F65F9D">
        <w:rPr>
          <w:lang w:val="en-GB"/>
        </w:rPr>
        <w:t xml:space="preserve"> can be excited, dissociated, and converted through electron</w:t>
      </w:r>
      <w:r w:rsidR="0008479F">
        <w:rPr>
          <w:lang w:val="en-GB"/>
        </w:rPr>
        <w:t>/</w:t>
      </w:r>
      <w:r w:rsidRPr="00F65F9D">
        <w:rPr>
          <w:lang w:val="en-GB"/>
        </w:rPr>
        <w:t>impact reactions, vibrational excitation, and thermal or radical</w:t>
      </w:r>
      <w:r w:rsidR="0008479F">
        <w:rPr>
          <w:lang w:val="en-GB"/>
        </w:rPr>
        <w:t>/</w:t>
      </w:r>
      <w:r w:rsidRPr="00F65F9D">
        <w:rPr>
          <w:lang w:val="en-GB"/>
        </w:rPr>
        <w:t>assisted pathways. However, atmospheric</w:t>
      </w:r>
      <w:r w:rsidR="0008479F">
        <w:rPr>
          <w:lang w:val="en-GB"/>
        </w:rPr>
        <w:t>/</w:t>
      </w:r>
      <w:r w:rsidRPr="00F65F9D">
        <w:rPr>
          <w:lang w:val="en-GB"/>
        </w:rPr>
        <w:t>pressure plasma conversion still faces challenges including discharge instability, limited energy efficiency, and competition between different reaction channels.</w:t>
      </w:r>
    </w:p>
    <w:p w14:paraId="7F866AA0" w14:textId="6D690FA3" w:rsidR="00C454DD" w:rsidRDefault="00F65F9D" w:rsidP="00F65F9D">
      <w:pPr>
        <w:pStyle w:val="a3"/>
        <w:spacing w:line="357" w:lineRule="auto"/>
        <w:rPr>
          <w:lang w:val="en-GB"/>
        </w:rPr>
      </w:pPr>
      <w:r w:rsidRPr="00F65F9D">
        <w:rPr>
          <w:lang w:val="en-GB"/>
        </w:rPr>
        <w:t>In this work, a MSGD device is employed for simultaneous NF and CO</w:t>
      </w:r>
      <w:r w:rsidRPr="009F5CA1">
        <w:rPr>
          <w:vertAlign w:val="subscript"/>
          <w:lang w:val="en-GB"/>
        </w:rPr>
        <w:t>2</w:t>
      </w:r>
      <w:r w:rsidRPr="00F65F9D">
        <w:rPr>
          <w:lang w:val="en-GB"/>
        </w:rPr>
        <w:t xml:space="preserve"> conversion. The magnetic field helps stabilize the glow discharge at atmospheric pressure, providing a controllable plasma environment for gas</w:t>
      </w:r>
      <w:r w:rsidR="0008479F">
        <w:rPr>
          <w:lang w:val="en-GB"/>
        </w:rPr>
        <w:t>/</w:t>
      </w:r>
      <w:r w:rsidRPr="00F65F9D">
        <w:rPr>
          <w:lang w:val="en-GB"/>
        </w:rPr>
        <w:t>phase chemical conversion, as illustrated in Fig</w:t>
      </w:r>
      <w:r w:rsidR="00823D7C">
        <w:rPr>
          <w:lang w:val="en-GB"/>
        </w:rPr>
        <w:t>.</w:t>
      </w:r>
      <w:r w:rsidRPr="00F65F9D">
        <w:rPr>
          <w:lang w:val="en-GB"/>
        </w:rPr>
        <w:t xml:space="preserve"> 1. Two gas systems, N</w:t>
      </w:r>
      <w:r w:rsidRPr="009F5CA1">
        <w:rPr>
          <w:vertAlign w:val="subscript"/>
          <w:lang w:val="en-GB"/>
        </w:rPr>
        <w:t>2</w:t>
      </w:r>
      <w:r w:rsidR="0008479F">
        <w:rPr>
          <w:lang w:val="en-GB"/>
        </w:rPr>
        <w:t>/</w:t>
      </w:r>
      <w:r w:rsidRPr="00F65F9D">
        <w:rPr>
          <w:lang w:val="en-GB"/>
        </w:rPr>
        <w:t>CO</w:t>
      </w:r>
      <w:r w:rsidRPr="009F5CA1">
        <w:rPr>
          <w:vertAlign w:val="subscript"/>
          <w:lang w:val="en-GB"/>
        </w:rPr>
        <w:t>2</w:t>
      </w:r>
      <w:r w:rsidRPr="00F65F9D">
        <w:rPr>
          <w:lang w:val="en-GB"/>
        </w:rPr>
        <w:t xml:space="preserve"> and air</w:t>
      </w:r>
      <w:r w:rsidR="0008479F">
        <w:rPr>
          <w:lang w:val="en-GB"/>
        </w:rPr>
        <w:t>/</w:t>
      </w:r>
      <w:r w:rsidRPr="00F65F9D">
        <w:rPr>
          <w:lang w:val="en-GB"/>
        </w:rPr>
        <w:t>CO</w:t>
      </w:r>
      <w:r w:rsidRPr="009F5CA1">
        <w:rPr>
          <w:vertAlign w:val="subscript"/>
          <w:lang w:val="en-GB"/>
        </w:rPr>
        <w:t>2</w:t>
      </w:r>
      <w:r w:rsidRPr="00F65F9D">
        <w:rPr>
          <w:lang w:val="en-GB"/>
        </w:rPr>
        <w:t>, are investigated to compare the effects of gas composition on NO</w:t>
      </w:r>
      <w:r w:rsidRPr="00823D7C">
        <w:rPr>
          <w:vertAlign w:val="subscript"/>
          <w:lang w:val="en-GB"/>
        </w:rPr>
        <w:t>x</w:t>
      </w:r>
      <w:r w:rsidRPr="00F65F9D">
        <w:rPr>
          <w:lang w:val="en-GB"/>
        </w:rPr>
        <w:t xml:space="preserve"> and CO produ</w:t>
      </w:r>
      <w:bookmarkStart w:id="0" w:name="_GoBack"/>
      <w:bookmarkEnd w:id="0"/>
      <w:r w:rsidRPr="00F65F9D">
        <w:rPr>
          <w:lang w:val="en-GB"/>
        </w:rPr>
        <w:t>ction. The performance is evaluated in terms of product concentration, energy cost, and energy efficiency. Optical emission spectroscopy is further used to support the analysis of plasma parameters and reaction mechanisms.</w:t>
      </w:r>
    </w:p>
    <w:p w14:paraId="2176C252" w14:textId="2119DE2E" w:rsidR="00F65F9D" w:rsidRDefault="00F65F9D" w:rsidP="00F65F9D">
      <w:pPr>
        <w:pStyle w:val="a3"/>
        <w:spacing w:line="357" w:lineRule="auto"/>
        <w:jc w:val="center"/>
        <w:rPr>
          <w:lang w:val="en-GB"/>
        </w:rPr>
      </w:pPr>
      <w:r>
        <w:rPr>
          <w:noProof/>
          <w:sz w:val="21"/>
          <w:szCs w:val="21"/>
        </w:rPr>
        <w:drawing>
          <wp:inline distT="0" distB="0" distL="0" distR="0" wp14:anchorId="5DA3B5AC" wp14:editId="6C7D61B2">
            <wp:extent cx="5040000" cy="1624378"/>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040000" cy="1624378"/>
                    </a:xfrm>
                    <a:prstGeom prst="rect">
                      <a:avLst/>
                    </a:prstGeom>
                  </pic:spPr>
                </pic:pic>
              </a:graphicData>
            </a:graphic>
          </wp:inline>
        </w:drawing>
      </w:r>
    </w:p>
    <w:p w14:paraId="786D4F91" w14:textId="4394070C" w:rsidR="00F65F9D" w:rsidRPr="00F65F9D" w:rsidRDefault="00F65F9D" w:rsidP="00F65F9D">
      <w:pPr>
        <w:pStyle w:val="a3"/>
        <w:ind w:left="119" w:right="113" w:firstLine="0"/>
        <w:rPr>
          <w:sz w:val="22"/>
          <w:szCs w:val="22"/>
          <w:lang w:val="en-GB"/>
        </w:rPr>
      </w:pPr>
      <w:r w:rsidRPr="00F65F9D">
        <w:rPr>
          <w:sz w:val="22"/>
          <w:szCs w:val="22"/>
          <w:lang w:val="en-GB"/>
        </w:rPr>
        <w:t>Fig. 1. Schematic of the experiment setup. (a) centralized Haber</w:t>
      </w:r>
      <w:r w:rsidR="0008479F">
        <w:rPr>
          <w:sz w:val="22"/>
          <w:szCs w:val="22"/>
          <w:lang w:val="en-GB"/>
        </w:rPr>
        <w:t>/</w:t>
      </w:r>
      <w:r w:rsidRPr="00F65F9D">
        <w:rPr>
          <w:sz w:val="22"/>
          <w:szCs w:val="22"/>
          <w:lang w:val="en-GB"/>
        </w:rPr>
        <w:t>Bosch process, (b) decentralized plasma NF and CO</w:t>
      </w:r>
      <w:r w:rsidRPr="009F5CA1">
        <w:rPr>
          <w:sz w:val="22"/>
          <w:szCs w:val="22"/>
          <w:vertAlign w:val="subscript"/>
          <w:lang w:val="en-GB"/>
        </w:rPr>
        <w:t>2</w:t>
      </w:r>
      <w:r w:rsidRPr="00F65F9D">
        <w:rPr>
          <w:sz w:val="22"/>
          <w:szCs w:val="22"/>
          <w:lang w:val="en-GB"/>
        </w:rPr>
        <w:t xml:space="preserve"> reutilization; (c) experiment setup of MSGD device for simultaneous NF and CO</w:t>
      </w:r>
      <w:r w:rsidRPr="009F5CA1">
        <w:rPr>
          <w:sz w:val="22"/>
          <w:szCs w:val="22"/>
          <w:vertAlign w:val="subscript"/>
          <w:lang w:val="en-GB"/>
        </w:rPr>
        <w:t>2</w:t>
      </w:r>
      <w:r w:rsidRPr="00F65F9D">
        <w:rPr>
          <w:sz w:val="22"/>
          <w:szCs w:val="22"/>
          <w:lang w:val="en-GB"/>
        </w:rPr>
        <w:t xml:space="preserve"> conversion by using N</w:t>
      </w:r>
      <w:r w:rsidRPr="009F5CA1">
        <w:rPr>
          <w:sz w:val="22"/>
          <w:szCs w:val="22"/>
          <w:vertAlign w:val="subscript"/>
          <w:lang w:val="en-GB"/>
        </w:rPr>
        <w:t>2</w:t>
      </w:r>
      <w:r w:rsidRPr="00F65F9D">
        <w:rPr>
          <w:sz w:val="22"/>
          <w:szCs w:val="22"/>
          <w:lang w:val="en-GB"/>
        </w:rPr>
        <w:t>/air and CO</w:t>
      </w:r>
      <w:r w:rsidRPr="009F5CA1">
        <w:rPr>
          <w:sz w:val="22"/>
          <w:szCs w:val="22"/>
          <w:vertAlign w:val="subscript"/>
          <w:lang w:val="en-GB"/>
        </w:rPr>
        <w:t>2</w:t>
      </w:r>
      <w:r w:rsidRPr="00F65F9D">
        <w:rPr>
          <w:sz w:val="22"/>
          <w:szCs w:val="22"/>
          <w:lang w:val="en-GB"/>
        </w:rPr>
        <w:t xml:space="preserve"> as working gas.</w:t>
      </w:r>
    </w:p>
    <w:p w14:paraId="508B2A09" w14:textId="40784478" w:rsidR="001A7F1A" w:rsidRPr="005859FF" w:rsidRDefault="001A7F1A" w:rsidP="005859FF">
      <w:pPr>
        <w:pStyle w:val="a5"/>
        <w:numPr>
          <w:ilvl w:val="0"/>
          <w:numId w:val="2"/>
        </w:numPr>
        <w:autoSpaceDE/>
        <w:autoSpaceDN/>
        <w:spacing w:line="276" w:lineRule="auto"/>
        <w:rPr>
          <w:rFonts w:eastAsia="等线"/>
          <w:b/>
          <w:kern w:val="2"/>
          <w:lang w:eastAsia="zh-CN"/>
          <w14:ligatures w14:val="standardContextual"/>
        </w:rPr>
      </w:pPr>
      <w:r w:rsidRPr="005859FF">
        <w:rPr>
          <w:rFonts w:eastAsia="等线"/>
          <w:b/>
          <w:kern w:val="2"/>
          <w:lang w:eastAsia="zh-CN"/>
          <w14:ligatures w14:val="standardContextual"/>
        </w:rPr>
        <w:t>Experiment Setup</w:t>
      </w:r>
    </w:p>
    <w:p w14:paraId="3AE4A886" w14:textId="7EE02353" w:rsidR="005859FF" w:rsidRPr="005859FF" w:rsidRDefault="005859FF" w:rsidP="005859FF">
      <w:pPr>
        <w:pStyle w:val="a3"/>
        <w:spacing w:line="357" w:lineRule="auto"/>
        <w:rPr>
          <w:lang w:val="en-GB"/>
        </w:rPr>
      </w:pPr>
      <w:r w:rsidRPr="005859FF">
        <w:rPr>
          <w:lang w:val="en-GB"/>
        </w:rPr>
        <w:t>Fig</w:t>
      </w:r>
      <w:r w:rsidR="00823D7C">
        <w:rPr>
          <w:lang w:val="en-GB"/>
        </w:rPr>
        <w:t>.</w:t>
      </w:r>
      <w:r w:rsidRPr="005859FF">
        <w:rPr>
          <w:lang w:val="en-GB"/>
        </w:rPr>
        <w:t xml:space="preserve"> 1(c) shows the experimental setup for NF and CO</w:t>
      </w:r>
      <w:r w:rsidRPr="00DE54AE">
        <w:rPr>
          <w:vertAlign w:val="subscript"/>
          <w:lang w:val="en-GB"/>
        </w:rPr>
        <w:t>2</w:t>
      </w:r>
      <w:r w:rsidRPr="005859FF">
        <w:rPr>
          <w:lang w:val="en-GB"/>
        </w:rPr>
        <w:t xml:space="preserve"> conversion using N</w:t>
      </w:r>
      <w:r w:rsidRPr="00DE54AE">
        <w:rPr>
          <w:vertAlign w:val="subscript"/>
          <w:lang w:val="en-GB"/>
        </w:rPr>
        <w:t>2</w:t>
      </w:r>
      <w:r w:rsidRPr="005859FF">
        <w:rPr>
          <w:lang w:val="en-GB"/>
        </w:rPr>
        <w:t>/air–CO</w:t>
      </w:r>
      <w:r w:rsidRPr="00DE54AE">
        <w:rPr>
          <w:vertAlign w:val="subscript"/>
          <w:lang w:val="en-GB"/>
        </w:rPr>
        <w:t>2</w:t>
      </w:r>
      <w:r w:rsidRPr="005859FF">
        <w:rPr>
          <w:lang w:val="en-GB"/>
        </w:rPr>
        <w:t xml:space="preserve"> gas mixtures. The MSGD device consists of two parallel brass electrodes separated by 11 mm, with </w:t>
      </w:r>
      <w:r w:rsidRPr="005859FF">
        <w:rPr>
          <w:lang w:val="en-GB"/>
        </w:rPr>
        <w:lastRenderedPageBreak/>
        <w:t>quartz glass plates on both sides forming the gas channel. Each electrode has a 1 mm thick tip, and the minimum gap between the two tips is 1 mm to facilitate breakdown. A pair of annular permanent magnets is placed on both sides of the device along the z</w:t>
      </w:r>
      <w:r w:rsidR="00823D7C">
        <w:rPr>
          <w:lang w:val="en-GB"/>
        </w:rPr>
        <w:t>-</w:t>
      </w:r>
      <w:r w:rsidRPr="005859FF">
        <w:rPr>
          <w:lang w:val="en-GB"/>
        </w:rPr>
        <w:t xml:space="preserve">axis, generating a magnetic field perpendicular to the electrode plane. The magnetic field strength in the central plasma region is about 100 </w:t>
      </w:r>
      <w:proofErr w:type="spellStart"/>
      <w:r w:rsidRPr="005859FF">
        <w:rPr>
          <w:lang w:val="en-GB"/>
        </w:rPr>
        <w:t>mT.</w:t>
      </w:r>
      <w:proofErr w:type="spellEnd"/>
    </w:p>
    <w:p w14:paraId="7121FDDC" w14:textId="76B928C7" w:rsidR="005859FF" w:rsidRPr="005859FF" w:rsidRDefault="005859FF" w:rsidP="005859FF">
      <w:pPr>
        <w:pStyle w:val="a3"/>
        <w:spacing w:line="357" w:lineRule="auto"/>
        <w:rPr>
          <w:lang w:val="en-GB"/>
        </w:rPr>
      </w:pPr>
      <w:r w:rsidRPr="005859FF">
        <w:rPr>
          <w:lang w:val="en-GB"/>
        </w:rPr>
        <w:t>The high</w:t>
      </w:r>
      <w:r w:rsidR="0008479F">
        <w:rPr>
          <w:lang w:val="en-GB"/>
        </w:rPr>
        <w:t>/</w:t>
      </w:r>
      <w:r w:rsidRPr="005859FF">
        <w:rPr>
          <w:lang w:val="en-GB"/>
        </w:rPr>
        <w:t xml:space="preserve">voltage electrode is powered by a DC power supply through a 50 </w:t>
      </w:r>
      <w:proofErr w:type="spellStart"/>
      <w:r w:rsidRPr="005859FF">
        <w:rPr>
          <w:lang w:val="en-GB"/>
        </w:rPr>
        <w:t>kΩ</w:t>
      </w:r>
      <w:proofErr w:type="spellEnd"/>
      <w:r w:rsidRPr="005859FF">
        <w:rPr>
          <w:lang w:val="en-GB"/>
        </w:rPr>
        <w:t xml:space="preserve"> current</w:t>
      </w:r>
      <w:r w:rsidR="0008479F">
        <w:rPr>
          <w:lang w:val="en-GB"/>
        </w:rPr>
        <w:t>/</w:t>
      </w:r>
      <w:r w:rsidRPr="005859FF">
        <w:rPr>
          <w:lang w:val="en-GB"/>
        </w:rPr>
        <w:t>limiting resistor, while the other electrode is grounded. The discharge voltage and current are measured using a high</w:t>
      </w:r>
      <w:r w:rsidR="0008479F">
        <w:rPr>
          <w:lang w:val="en-GB"/>
        </w:rPr>
        <w:t>/</w:t>
      </w:r>
      <w:r w:rsidRPr="005859FF">
        <w:rPr>
          <w:lang w:val="en-GB"/>
        </w:rPr>
        <w:t>voltage probe and a current probe, respectively. The main gaseous products, including CO, NO, and NO</w:t>
      </w:r>
      <w:r w:rsidRPr="005859FF">
        <w:rPr>
          <w:vertAlign w:val="subscript"/>
          <w:lang w:val="en-GB"/>
        </w:rPr>
        <w:t>2</w:t>
      </w:r>
      <w:r w:rsidRPr="005859FF">
        <w:rPr>
          <w:lang w:val="en-GB"/>
        </w:rPr>
        <w:t xml:space="preserve">, are </w:t>
      </w:r>
      <w:r w:rsidR="00DE54AE" w:rsidRPr="005859FF">
        <w:rPr>
          <w:lang w:val="en-GB"/>
        </w:rPr>
        <w:t>analysed</w:t>
      </w:r>
      <w:r w:rsidRPr="005859FF">
        <w:rPr>
          <w:lang w:val="en-GB"/>
        </w:rPr>
        <w:t xml:space="preserve"> by FTIR after passing through a PTFE tube. The FTIR signals are calibrated using standard gas mixtures to obtain absolute product concentrations. Plasma images are recorded using a digital camera, and optical emission spectra in the range of 200</w:t>
      </w:r>
      <w:r w:rsidR="00823D7C">
        <w:rPr>
          <w:lang w:val="en-GB"/>
        </w:rPr>
        <w:t>-</w:t>
      </w:r>
      <w:r w:rsidRPr="005859FF">
        <w:rPr>
          <w:lang w:val="en-GB"/>
        </w:rPr>
        <w:t>800 nm are measured using a spectrometer.</w:t>
      </w:r>
    </w:p>
    <w:p w14:paraId="75F47515" w14:textId="24B23EFF" w:rsidR="005859FF" w:rsidRPr="005859FF" w:rsidRDefault="005859FF" w:rsidP="005859FF">
      <w:pPr>
        <w:pStyle w:val="a3"/>
        <w:numPr>
          <w:ilvl w:val="0"/>
          <w:numId w:val="2"/>
        </w:numPr>
        <w:spacing w:line="357" w:lineRule="auto"/>
        <w:rPr>
          <w:b/>
          <w:lang w:val="en-GB"/>
        </w:rPr>
      </w:pPr>
      <w:r w:rsidRPr="005859FF">
        <w:rPr>
          <w:b/>
          <w:lang w:val="en-GB"/>
        </w:rPr>
        <w:t>Results and Discussions</w:t>
      </w:r>
    </w:p>
    <w:p w14:paraId="1E69F007" w14:textId="1F1D5A66" w:rsidR="005859FF" w:rsidRDefault="00E847A1" w:rsidP="00E847A1">
      <w:pPr>
        <w:pStyle w:val="a3"/>
        <w:spacing w:line="357" w:lineRule="auto"/>
        <w:ind w:left="0" w:firstLine="0"/>
        <w:rPr>
          <w:lang w:val="en-GB"/>
        </w:rPr>
      </w:pPr>
      <w:r w:rsidRPr="00E847A1">
        <w:rPr>
          <w:b/>
          <w:bCs/>
          <w:lang w:val="en-GB"/>
        </w:rPr>
        <w:t>3.1 Photographs, Electrical Characteristics, and Emission Spectrum of the MSGD plasma</w:t>
      </w:r>
    </w:p>
    <w:p w14:paraId="756A56B1" w14:textId="36905A5C" w:rsidR="00C519A3" w:rsidRPr="00C519A3" w:rsidRDefault="00C519A3" w:rsidP="00C519A3">
      <w:pPr>
        <w:pStyle w:val="a3"/>
        <w:spacing w:line="357" w:lineRule="auto"/>
        <w:rPr>
          <w:lang w:val="en-GB"/>
        </w:rPr>
      </w:pPr>
      <w:r w:rsidRPr="00C519A3">
        <w:rPr>
          <w:lang w:val="en-GB"/>
        </w:rPr>
        <w:t>Fig</w:t>
      </w:r>
      <w:r w:rsidR="00823D7C">
        <w:rPr>
          <w:lang w:val="en-GB"/>
        </w:rPr>
        <w:t>.</w:t>
      </w:r>
      <w:r w:rsidRPr="00C519A3">
        <w:rPr>
          <w:lang w:val="en-GB"/>
        </w:rPr>
        <w:t xml:space="preserve"> 2 shows photographs of the plasma generated from an air and CO</w:t>
      </w:r>
      <w:r w:rsidRPr="00C519A3">
        <w:rPr>
          <w:vertAlign w:val="subscript"/>
          <w:lang w:val="en-GB"/>
        </w:rPr>
        <w:t>2</w:t>
      </w:r>
      <w:r w:rsidRPr="00C519A3">
        <w:rPr>
          <w:lang w:val="en-GB"/>
        </w:rPr>
        <w:t xml:space="preserve"> mixture (air/CO</w:t>
      </w:r>
      <w:r w:rsidRPr="00C519A3">
        <w:rPr>
          <w:vertAlign w:val="subscript"/>
          <w:lang w:val="en-GB"/>
        </w:rPr>
        <w:t>2</w:t>
      </w:r>
      <w:r w:rsidRPr="00C519A3">
        <w:rPr>
          <w:lang w:val="en-GB"/>
        </w:rPr>
        <w:t>=7/4), along with waveforms of the discharge voltage and current. As shown in Fig</w:t>
      </w:r>
      <w:r w:rsidR="00823D7C">
        <w:rPr>
          <w:lang w:val="en-GB"/>
        </w:rPr>
        <w:t>.</w:t>
      </w:r>
      <w:r w:rsidRPr="00C519A3">
        <w:rPr>
          <w:lang w:val="en-GB"/>
        </w:rPr>
        <w:t xml:space="preserve"> 2(a), under the combined effect of the Lorentz force and the gas flow, a stable U</w:t>
      </w:r>
      <w:r w:rsidR="00823D7C">
        <w:rPr>
          <w:lang w:val="en-GB"/>
        </w:rPr>
        <w:t>-</w:t>
      </w:r>
      <w:r w:rsidRPr="00C519A3">
        <w:rPr>
          <w:lang w:val="en-GB"/>
        </w:rPr>
        <w:t>shaped plasma channel is formed. According to Li et al.</w:t>
      </w:r>
      <w:r w:rsidRPr="00C519A3">
        <w:rPr>
          <w:lang w:val="en-GB"/>
        </w:rPr>
        <w:fldChar w:fldCharType="begin"/>
      </w:r>
      <w:r w:rsidRPr="00C519A3">
        <w:rPr>
          <w:lang w:val="en-GB"/>
        </w:rPr>
        <w:instrText xml:space="preserve"> ADDIN ZOTERO_ITEM CSL_CITATION {"citationID":"LcC4hZja","properties":{"unsorted":false,"formattedCitation":"[1]","plainCitation":"[1]","noteIndex":0},"citationItems":[{"id":233,"uris":["http://zotero.org/users/9575822/items/MFRTN23U"],"itemData":{"id":233,"type":"article-journal","abstract":"An atmospheric pressure glow discharge in air stabilized by a magnetic field is reported. The plasma is fixed at a position when the direction of the Lorentz force and the direction of the air flow is opposite. Under such condition, a stable glow discharge can be achieved and the plasma parameters can be independently controlled by the applied voltage, the magnetic field and the air flow rate, which is not the case for the widely used gliding arc (GA) discharge. For applied voltage of 6.5 kV, air flow rate of 2 L min−1, and magnetic field of 0.11 T perpendicular to the paper pointing outward, the discharge voltage (Vdis) and discharge current (Idis) are 1.2 kV and 49.7 mA, respectively. The rotational and vibrational temperature is about 3420 K and 4550 K, respectively. The electron density is on the order of 1014 cm−3 and the reduced electric field of plasma is about 36.9 Td, which is favorable for vibrational excitation of N2 to promote the production of NOx. As the plasma is fixed at a position, all the gas has to pass the plasma region and treated by the plasma when they are flowing, which is not the case for GA discharge where only a little percentage of gas is actually treated by the plasma. The energy cost of NOx production for the plasma stabilized by magnetic field of 0.19 T pointing outward is about 2.65 MJ mol−1, which is 41% lower than the GA discharge.","container-title":"Plasma Processes and Polymers","DOI":"10.1002/ppap.202200071","ISSN":"1612-8850, 1612-8869","issue":"12","journalAbbreviation":"Plasma Processes &amp; Polymers","language":"en","page":"2200071","source":"DOI.org (Crossref)","title":"An atmospheric pressure glow discharge in air stabilized by a magnetic field and its application on nitrogen fixation","volume":"19","author":[{"family":"Li","given":"ZhiYu"},{"family":"Nie","given":"LanLan"},{"family":"Liu","given":"DaWei"},{"family":"Lu","given":"XinPei"}],"issued":{"date-parts":[["2022",12]]}}}],"schema":"https://github.com/citation-style-language/schema/raw/master/csl-citation.json"} </w:instrText>
      </w:r>
      <w:r w:rsidRPr="00C519A3">
        <w:rPr>
          <w:lang w:val="en-GB"/>
        </w:rPr>
        <w:fldChar w:fldCharType="separate"/>
      </w:r>
      <w:r w:rsidRPr="00C519A3">
        <w:rPr>
          <w:lang w:val="en-GB"/>
        </w:rPr>
        <w:t>[1]</w:t>
      </w:r>
      <w:r w:rsidRPr="00C519A3">
        <w:rPr>
          <w:lang w:val="en-GB"/>
        </w:rPr>
        <w:fldChar w:fldCharType="end"/>
      </w:r>
      <w:r w:rsidRPr="00C519A3">
        <w:rPr>
          <w:lang w:val="en-GB"/>
        </w:rPr>
        <w:t>, this discharge mode is classified as glow discharge. As shown in Fig</w:t>
      </w:r>
      <w:r w:rsidR="00823D7C">
        <w:rPr>
          <w:lang w:val="en-GB"/>
        </w:rPr>
        <w:t>.</w:t>
      </w:r>
      <w:r w:rsidRPr="00C519A3">
        <w:rPr>
          <w:lang w:val="en-GB"/>
        </w:rPr>
        <w:t xml:space="preserve"> 2(b), the discharge voltage and current are 2.42 kV and 51.4 mA, respectively. Because the discharge remains stable, the voltage and current are almost constant over time, resulting in a plasma power of approximately 124.4 W.</w:t>
      </w:r>
    </w:p>
    <w:p w14:paraId="0B8CAEC7" w14:textId="3B97797C" w:rsidR="00C519A3" w:rsidRPr="00C519A3" w:rsidRDefault="00C519A3" w:rsidP="006930E1">
      <w:pPr>
        <w:pStyle w:val="a3"/>
        <w:spacing w:line="357" w:lineRule="auto"/>
        <w:jc w:val="center"/>
        <w:rPr>
          <w:lang w:val="en-GB"/>
        </w:rPr>
      </w:pPr>
      <w:r w:rsidRPr="00C519A3">
        <w:rPr>
          <w:lang w:val="en-GB"/>
        </w:rPr>
        <w:drawing>
          <wp:inline distT="0" distB="0" distL="0" distR="0" wp14:anchorId="4AAD66DA" wp14:editId="0AA01D7A">
            <wp:extent cx="3575050" cy="1441450"/>
            <wp:effectExtent l="0" t="0" r="6350" b="635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75050" cy="1441450"/>
                    </a:xfrm>
                    <a:prstGeom prst="rect">
                      <a:avLst/>
                    </a:prstGeom>
                    <a:noFill/>
                    <a:ln>
                      <a:noFill/>
                    </a:ln>
                  </pic:spPr>
                </pic:pic>
              </a:graphicData>
            </a:graphic>
          </wp:inline>
        </w:drawing>
      </w:r>
    </w:p>
    <w:p w14:paraId="2F19C01E" w14:textId="77777777" w:rsidR="00C519A3" w:rsidRPr="000D3F93" w:rsidRDefault="00C519A3" w:rsidP="000D3F93">
      <w:pPr>
        <w:pStyle w:val="a3"/>
        <w:ind w:left="119" w:right="113" w:firstLine="0"/>
        <w:jc w:val="center"/>
        <w:rPr>
          <w:sz w:val="22"/>
          <w:szCs w:val="22"/>
          <w:lang w:val="en-GB"/>
        </w:rPr>
      </w:pPr>
      <w:r w:rsidRPr="000D3F93">
        <w:rPr>
          <w:sz w:val="22"/>
          <w:szCs w:val="22"/>
          <w:lang w:val="en-GB"/>
        </w:rPr>
        <w:t>Fig. 2. (a) Photograph of the plasma and (b) the discharge voltage and current waveforms.</w:t>
      </w:r>
    </w:p>
    <w:p w14:paraId="09EBFEBE" w14:textId="30D4152C" w:rsidR="00C519A3" w:rsidRPr="00C519A3" w:rsidRDefault="00C519A3" w:rsidP="00C519A3">
      <w:pPr>
        <w:pStyle w:val="a3"/>
        <w:spacing w:line="357" w:lineRule="auto"/>
        <w:rPr>
          <w:lang w:val="en-GB"/>
        </w:rPr>
      </w:pPr>
      <w:r w:rsidRPr="00C519A3">
        <w:rPr>
          <w:lang w:val="en-GB"/>
        </w:rPr>
        <w:t xml:space="preserve">The emission spectrum of the plasma in the </w:t>
      </w:r>
      <w:proofErr w:type="spellStart"/>
      <w:r w:rsidRPr="00C519A3">
        <w:rPr>
          <w:lang w:val="en-GB"/>
        </w:rPr>
        <w:t>center</w:t>
      </w:r>
      <w:proofErr w:type="spellEnd"/>
      <w:r w:rsidRPr="00C519A3">
        <w:rPr>
          <w:lang w:val="en-GB"/>
        </w:rPr>
        <w:t xml:space="preserve"> of the U</w:t>
      </w:r>
      <w:r w:rsidR="0008479F">
        <w:rPr>
          <w:lang w:val="en-GB"/>
        </w:rPr>
        <w:t>/</w:t>
      </w:r>
      <w:r w:rsidRPr="00C519A3">
        <w:rPr>
          <w:lang w:val="en-GB"/>
        </w:rPr>
        <w:t>shaped plasma channel was measured in the 200</w:t>
      </w:r>
      <w:r w:rsidR="00823D7C">
        <w:rPr>
          <w:lang w:val="en-GB"/>
        </w:rPr>
        <w:t>-</w:t>
      </w:r>
      <w:r w:rsidRPr="00C519A3">
        <w:rPr>
          <w:lang w:val="en-GB"/>
        </w:rPr>
        <w:t>800 nm range using air and CO</w:t>
      </w:r>
      <w:r w:rsidRPr="00C519A3">
        <w:rPr>
          <w:vertAlign w:val="subscript"/>
          <w:lang w:val="en-GB"/>
        </w:rPr>
        <w:t>2</w:t>
      </w:r>
      <w:r w:rsidRPr="00C519A3">
        <w:rPr>
          <w:lang w:val="en-GB"/>
        </w:rPr>
        <w:t xml:space="preserve"> mixture (air/CO</w:t>
      </w:r>
      <w:r w:rsidRPr="00C519A3">
        <w:rPr>
          <w:vertAlign w:val="subscript"/>
          <w:lang w:val="en-GB"/>
        </w:rPr>
        <w:t>2</w:t>
      </w:r>
      <w:r w:rsidRPr="00C519A3">
        <w:rPr>
          <w:lang w:val="en-GB"/>
        </w:rPr>
        <w:t>=7:4) as working gas, as shown in Fig</w:t>
      </w:r>
      <w:r w:rsidR="00823D7C">
        <w:rPr>
          <w:rFonts w:ascii="宋体" w:eastAsia="宋体" w:hAnsi="宋体" w:cs="宋体"/>
          <w:lang w:val="en-GB" w:eastAsia="zh-CN"/>
        </w:rPr>
        <w:t>.</w:t>
      </w:r>
      <w:r w:rsidRPr="00C519A3">
        <w:rPr>
          <w:lang w:val="en-GB"/>
        </w:rPr>
        <w:t xml:space="preserve"> 3. The spectrum clearly reveals the NO</w:t>
      </w:r>
      <w:r w:rsidR="0008479F">
        <w:rPr>
          <w:lang w:val="en-GB"/>
        </w:rPr>
        <w:t>/</w:t>
      </w:r>
      <w:r w:rsidRPr="00C519A3">
        <w:rPr>
          <w:lang w:val="en-GB"/>
        </w:rPr>
        <w:t>γ lines and the CO(d</w:t>
      </w:r>
      <w:r w:rsidR="00823D7C">
        <w:rPr>
          <w:lang w:val="en-GB"/>
        </w:rPr>
        <w:t>-</w:t>
      </w:r>
      <w:r w:rsidRPr="00C519A3">
        <w:rPr>
          <w:lang w:val="en-GB"/>
        </w:rPr>
        <w:t>a) and CO(B</w:t>
      </w:r>
      <w:r w:rsidR="00823D7C">
        <w:rPr>
          <w:lang w:val="en-GB"/>
        </w:rPr>
        <w:t>-</w:t>
      </w:r>
      <w:r w:rsidRPr="00C519A3">
        <w:rPr>
          <w:lang w:val="en-GB"/>
        </w:rPr>
        <w:t>A) lines, indicating the presence of NO and CO in the plasma. Additionally, the emission spectrum also includes lines from species that play significant roles in NF and CO</w:t>
      </w:r>
      <w:r w:rsidRPr="00C519A3">
        <w:rPr>
          <w:vertAlign w:val="subscript"/>
          <w:lang w:val="en-GB"/>
        </w:rPr>
        <w:t xml:space="preserve">2 </w:t>
      </w:r>
      <w:r w:rsidRPr="00C519A3">
        <w:rPr>
          <w:lang w:val="en-GB"/>
        </w:rPr>
        <w:t>conversion, such as N</w:t>
      </w:r>
      <w:r w:rsidRPr="00C519A3">
        <w:rPr>
          <w:vertAlign w:val="subscript"/>
          <w:lang w:val="en-GB"/>
        </w:rPr>
        <w:t>2</w:t>
      </w:r>
      <w:r w:rsidRPr="00C519A3">
        <w:rPr>
          <w:lang w:val="en-GB"/>
        </w:rPr>
        <w:t>(C), N</w:t>
      </w:r>
      <w:r w:rsidRPr="00C519A3">
        <w:rPr>
          <w:vertAlign w:val="subscript"/>
          <w:lang w:val="en-GB"/>
        </w:rPr>
        <w:t>2</w:t>
      </w:r>
      <w:r w:rsidRPr="00C519A3">
        <w:rPr>
          <w:lang w:val="en-GB"/>
        </w:rPr>
        <w:t>(B), N</w:t>
      </w:r>
      <w:r w:rsidRPr="00C519A3">
        <w:rPr>
          <w:vertAlign w:val="subscript"/>
          <w:lang w:val="en-GB"/>
        </w:rPr>
        <w:t>2</w:t>
      </w:r>
      <w:r w:rsidRPr="00C519A3">
        <w:rPr>
          <w:lang w:val="en-GB"/>
        </w:rPr>
        <w:t>(A), O atoms, OH, and CO</w:t>
      </w:r>
      <w:r w:rsidRPr="00C519A3">
        <w:rPr>
          <w:vertAlign w:val="subscript"/>
          <w:lang w:val="en-GB"/>
        </w:rPr>
        <w:t>2</w:t>
      </w:r>
      <w:r w:rsidRPr="00C519A3">
        <w:rPr>
          <w:lang w:val="en-GB"/>
        </w:rPr>
        <w:t>(B</w:t>
      </w:r>
      <w:r w:rsidR="00823D7C">
        <w:rPr>
          <w:lang w:val="en-GB"/>
        </w:rPr>
        <w:t>-</w:t>
      </w:r>
      <w:r w:rsidRPr="00C519A3">
        <w:rPr>
          <w:lang w:val="en-GB"/>
        </w:rPr>
        <w:t>X).</w:t>
      </w:r>
    </w:p>
    <w:p w14:paraId="3D986935" w14:textId="70527249" w:rsidR="00C519A3" w:rsidRPr="00C519A3" w:rsidRDefault="00C519A3" w:rsidP="006930E1">
      <w:pPr>
        <w:pStyle w:val="a3"/>
        <w:spacing w:line="357" w:lineRule="auto"/>
        <w:jc w:val="center"/>
        <w:rPr>
          <w:lang w:val="en-GB"/>
        </w:rPr>
      </w:pPr>
      <w:r w:rsidRPr="00C519A3">
        <w:rPr>
          <w:lang w:val="en-GB"/>
        </w:rPr>
        <w:lastRenderedPageBreak/>
        <w:drawing>
          <wp:inline distT="0" distB="0" distL="0" distR="0" wp14:anchorId="794F9953" wp14:editId="5195866A">
            <wp:extent cx="3695700" cy="1441450"/>
            <wp:effectExtent l="0" t="0" r="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95700" cy="1441450"/>
                    </a:xfrm>
                    <a:prstGeom prst="rect">
                      <a:avLst/>
                    </a:prstGeom>
                    <a:noFill/>
                    <a:ln>
                      <a:noFill/>
                    </a:ln>
                  </pic:spPr>
                </pic:pic>
              </a:graphicData>
            </a:graphic>
          </wp:inline>
        </w:drawing>
      </w:r>
    </w:p>
    <w:p w14:paraId="1B08FA36" w14:textId="03725EBB" w:rsidR="00C519A3" w:rsidRPr="000D3F93" w:rsidRDefault="00C519A3" w:rsidP="000D3F93">
      <w:pPr>
        <w:pStyle w:val="a3"/>
        <w:ind w:left="119" w:right="113" w:firstLine="0"/>
        <w:jc w:val="center"/>
        <w:rPr>
          <w:sz w:val="22"/>
          <w:szCs w:val="22"/>
          <w:lang w:val="en-GB"/>
        </w:rPr>
      </w:pPr>
      <w:r w:rsidRPr="000D3F93">
        <w:rPr>
          <w:sz w:val="22"/>
          <w:szCs w:val="22"/>
          <w:lang w:val="en-GB"/>
        </w:rPr>
        <w:t>Fig. 3. Optical emission spectrum of the plasma. (a) 200</w:t>
      </w:r>
      <w:r w:rsidR="00823D7C">
        <w:rPr>
          <w:sz w:val="22"/>
          <w:szCs w:val="22"/>
          <w:lang w:val="en-GB"/>
        </w:rPr>
        <w:t>-</w:t>
      </w:r>
      <w:r w:rsidRPr="000D3F93">
        <w:rPr>
          <w:sz w:val="22"/>
          <w:szCs w:val="22"/>
          <w:lang w:val="en-GB"/>
        </w:rPr>
        <w:t>500 nm; (b) 500</w:t>
      </w:r>
      <w:r w:rsidR="00823D7C">
        <w:rPr>
          <w:sz w:val="22"/>
          <w:szCs w:val="22"/>
          <w:lang w:val="en-GB"/>
        </w:rPr>
        <w:t>-</w:t>
      </w:r>
      <w:r w:rsidRPr="000D3F93">
        <w:rPr>
          <w:sz w:val="22"/>
          <w:szCs w:val="22"/>
          <w:lang w:val="en-GB"/>
        </w:rPr>
        <w:t>800 nm.</w:t>
      </w:r>
    </w:p>
    <w:p w14:paraId="4273A8EF" w14:textId="77777777" w:rsidR="00C519A3" w:rsidRPr="00C519A3" w:rsidRDefault="00C519A3" w:rsidP="006930E1">
      <w:pPr>
        <w:pStyle w:val="a3"/>
        <w:spacing w:line="357" w:lineRule="auto"/>
        <w:ind w:left="0" w:firstLine="0"/>
        <w:rPr>
          <w:b/>
          <w:bCs/>
          <w:lang w:val="en-GB"/>
        </w:rPr>
      </w:pPr>
      <w:r w:rsidRPr="00C519A3">
        <w:rPr>
          <w:b/>
          <w:bCs/>
          <w:lang w:val="en-GB"/>
        </w:rPr>
        <w:t>3.2. Gas composition on NF and CO</w:t>
      </w:r>
      <w:r w:rsidRPr="00C519A3">
        <w:rPr>
          <w:b/>
          <w:bCs/>
          <w:vertAlign w:val="subscript"/>
          <w:lang w:val="en-GB"/>
        </w:rPr>
        <w:t>2</w:t>
      </w:r>
      <w:r w:rsidRPr="00C519A3">
        <w:rPr>
          <w:b/>
          <w:bCs/>
          <w:lang w:val="en-GB"/>
        </w:rPr>
        <w:t xml:space="preserve"> conversion efficiency</w:t>
      </w:r>
    </w:p>
    <w:p w14:paraId="6A249EF4" w14:textId="77777777" w:rsidR="00C519A3" w:rsidRPr="00C519A3" w:rsidRDefault="00C519A3" w:rsidP="00C519A3">
      <w:pPr>
        <w:pStyle w:val="a3"/>
        <w:spacing w:line="357" w:lineRule="auto"/>
        <w:rPr>
          <w:lang w:val="en-GB"/>
        </w:rPr>
      </w:pPr>
      <w:r w:rsidRPr="00C519A3">
        <w:rPr>
          <w:lang w:val="en-GB"/>
        </w:rPr>
        <w:t>To investigate the effects of different gas compositions on NF and CO</w:t>
      </w:r>
      <w:r w:rsidRPr="00C519A3">
        <w:rPr>
          <w:vertAlign w:val="subscript"/>
          <w:lang w:val="en-GB"/>
        </w:rPr>
        <w:t>2</w:t>
      </w:r>
      <w:r w:rsidRPr="00C519A3">
        <w:rPr>
          <w:lang w:val="en-GB"/>
        </w:rPr>
        <w:t xml:space="preserve"> conversion in magnetic field stabilized glow plasma, we conducted experiments using varying ratios of CO</w:t>
      </w:r>
      <w:r w:rsidRPr="00C519A3">
        <w:rPr>
          <w:vertAlign w:val="subscript"/>
          <w:lang w:val="en-GB"/>
        </w:rPr>
        <w:t>2</w:t>
      </w:r>
      <w:r w:rsidRPr="00C519A3">
        <w:rPr>
          <w:lang w:val="en-GB"/>
        </w:rPr>
        <w:t xml:space="preserve"> with N</w:t>
      </w:r>
      <w:r w:rsidRPr="00C519A3">
        <w:rPr>
          <w:vertAlign w:val="subscript"/>
          <w:lang w:val="en-GB"/>
        </w:rPr>
        <w:t>2</w:t>
      </w:r>
      <w:r w:rsidRPr="00C519A3">
        <w:rPr>
          <w:lang w:val="en-GB"/>
        </w:rPr>
        <w:t xml:space="preserve"> and air. The gas flow rate was maintained at 5.5 L/min, and the plasma power was kept at approximately 120 W.</w:t>
      </w:r>
    </w:p>
    <w:p w14:paraId="19F2F772" w14:textId="4454F3AC" w:rsidR="00C519A3" w:rsidRPr="00C519A3" w:rsidRDefault="00C519A3" w:rsidP="006930E1">
      <w:pPr>
        <w:pStyle w:val="a3"/>
        <w:spacing w:line="357" w:lineRule="auto"/>
        <w:jc w:val="center"/>
        <w:rPr>
          <w:lang w:val="en-GB"/>
        </w:rPr>
      </w:pPr>
      <w:r w:rsidRPr="00C519A3">
        <w:rPr>
          <w:lang w:val="en-GB"/>
        </w:rPr>
        <w:drawing>
          <wp:inline distT="0" distB="0" distL="0" distR="0" wp14:anchorId="7DBA0713" wp14:editId="19D610F3">
            <wp:extent cx="3581400" cy="26606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81400" cy="2660650"/>
                    </a:xfrm>
                    <a:prstGeom prst="rect">
                      <a:avLst/>
                    </a:prstGeom>
                    <a:noFill/>
                    <a:ln>
                      <a:noFill/>
                    </a:ln>
                  </pic:spPr>
                </pic:pic>
              </a:graphicData>
            </a:graphic>
          </wp:inline>
        </w:drawing>
      </w:r>
    </w:p>
    <w:p w14:paraId="190B8D1C" w14:textId="77777777" w:rsidR="00C519A3" w:rsidRPr="000D3F93" w:rsidRDefault="00C519A3" w:rsidP="008174D9">
      <w:pPr>
        <w:pStyle w:val="a3"/>
        <w:ind w:left="119" w:right="113" w:firstLine="0"/>
        <w:rPr>
          <w:sz w:val="22"/>
          <w:szCs w:val="22"/>
          <w:lang w:val="en-GB"/>
        </w:rPr>
      </w:pPr>
      <w:r w:rsidRPr="000D3F93">
        <w:rPr>
          <w:sz w:val="22"/>
          <w:szCs w:val="22"/>
          <w:lang w:val="en-GB"/>
        </w:rPr>
        <w:t>Fig. 4. The results of the N</w:t>
      </w:r>
      <w:r w:rsidRPr="000D3F93">
        <w:rPr>
          <w:sz w:val="22"/>
          <w:szCs w:val="22"/>
          <w:vertAlign w:val="subscript"/>
          <w:lang w:val="en-GB"/>
        </w:rPr>
        <w:t>2</w:t>
      </w:r>
      <w:r w:rsidRPr="000D3F93">
        <w:rPr>
          <w:sz w:val="22"/>
          <w:szCs w:val="22"/>
          <w:lang w:val="en-GB"/>
        </w:rPr>
        <w:t xml:space="preserve"> mixed with different CO</w:t>
      </w:r>
      <w:r w:rsidRPr="000D3F93">
        <w:rPr>
          <w:sz w:val="22"/>
          <w:szCs w:val="22"/>
          <w:vertAlign w:val="subscript"/>
          <w:lang w:val="en-GB"/>
        </w:rPr>
        <w:t>2</w:t>
      </w:r>
      <w:r w:rsidRPr="000D3F93">
        <w:rPr>
          <w:sz w:val="22"/>
          <w:szCs w:val="22"/>
          <w:lang w:val="en-GB"/>
        </w:rPr>
        <w:t xml:space="preserve"> ratio: (a) concentrations of NO and CO; (b) energy cost for CO and NO; (c) specific energy input (SEI) and energy efficiency of CO</w:t>
      </w:r>
      <w:r w:rsidRPr="000D3F93">
        <w:rPr>
          <w:sz w:val="22"/>
          <w:szCs w:val="22"/>
          <w:vertAlign w:val="subscript"/>
          <w:lang w:val="en-GB"/>
        </w:rPr>
        <w:t>2</w:t>
      </w:r>
      <w:r w:rsidRPr="000D3F93">
        <w:rPr>
          <w:sz w:val="22"/>
          <w:szCs w:val="22"/>
          <w:lang w:val="en-GB"/>
        </w:rPr>
        <w:t xml:space="preserve"> conversion; (d) absolute conversion rate of CO</w:t>
      </w:r>
      <w:r w:rsidRPr="000D3F93">
        <w:rPr>
          <w:sz w:val="22"/>
          <w:szCs w:val="22"/>
          <w:vertAlign w:val="subscript"/>
          <w:lang w:val="en-GB"/>
        </w:rPr>
        <w:t>2</w:t>
      </w:r>
      <w:r w:rsidRPr="000D3F93">
        <w:rPr>
          <w:sz w:val="22"/>
          <w:szCs w:val="22"/>
          <w:lang w:val="en-GB"/>
        </w:rPr>
        <w:t>.</w:t>
      </w:r>
    </w:p>
    <w:p w14:paraId="3293323A" w14:textId="415A9B8F" w:rsidR="00C519A3" w:rsidRPr="00C519A3" w:rsidRDefault="00823D7C" w:rsidP="00563179">
      <w:pPr>
        <w:pStyle w:val="a3"/>
        <w:spacing w:line="357" w:lineRule="auto"/>
        <w:rPr>
          <w:lang w:val="en-GB"/>
        </w:rPr>
      </w:pPr>
      <w:r w:rsidRPr="00C519A3">
        <w:rPr>
          <w:lang w:val="en-GB"/>
        </w:rPr>
        <w:t>Fig.</w:t>
      </w:r>
      <w:r w:rsidR="00C519A3" w:rsidRPr="00C519A3">
        <w:rPr>
          <w:lang w:val="en-GB"/>
        </w:rPr>
        <w:t xml:space="preserve"> 4(a) shows the concentrations of CO and NO</w:t>
      </w:r>
      <w:r w:rsidR="00C519A3" w:rsidRPr="00C519A3">
        <w:rPr>
          <w:vertAlign w:val="subscript"/>
          <w:lang w:val="en-GB"/>
        </w:rPr>
        <w:t>x</w:t>
      </w:r>
      <w:r w:rsidR="00C519A3" w:rsidRPr="00C519A3">
        <w:rPr>
          <w:lang w:val="en-GB"/>
        </w:rPr>
        <w:t xml:space="preserve"> at various CO</w:t>
      </w:r>
      <w:r w:rsidR="00C519A3" w:rsidRPr="00C519A3">
        <w:rPr>
          <w:vertAlign w:val="subscript"/>
          <w:lang w:val="en-GB"/>
        </w:rPr>
        <w:t>2</w:t>
      </w:r>
      <w:r w:rsidR="00C519A3" w:rsidRPr="00C519A3">
        <w:rPr>
          <w:lang w:val="en-GB"/>
        </w:rPr>
        <w:t xml:space="preserve"> volume fractions using the N</w:t>
      </w:r>
      <w:r w:rsidR="00C519A3" w:rsidRPr="00C519A3">
        <w:rPr>
          <w:vertAlign w:val="subscript"/>
          <w:lang w:val="en-GB"/>
        </w:rPr>
        <w:t>2</w:t>
      </w:r>
      <w:r w:rsidR="00F139C9" w:rsidRPr="00F139C9">
        <w:rPr>
          <w:rFonts w:eastAsia="宋体"/>
          <w:lang w:val="en-GB" w:eastAsia="zh-CN"/>
        </w:rPr>
        <w:t>/</w:t>
      </w:r>
      <w:r w:rsidR="00C519A3" w:rsidRPr="00C519A3">
        <w:rPr>
          <w:lang w:val="en-GB"/>
        </w:rPr>
        <w:t>CO</w:t>
      </w:r>
      <w:r w:rsidR="00C519A3" w:rsidRPr="00C519A3">
        <w:rPr>
          <w:vertAlign w:val="subscript"/>
          <w:lang w:val="en-GB"/>
        </w:rPr>
        <w:t>2</w:t>
      </w:r>
      <w:r w:rsidR="00C519A3" w:rsidRPr="00C519A3">
        <w:rPr>
          <w:lang w:val="en-GB"/>
        </w:rPr>
        <w:t xml:space="preserve"> mixture discharge. </w:t>
      </w:r>
      <w:r w:rsidR="004F593D">
        <w:rPr>
          <w:lang w:val="en-GB"/>
        </w:rPr>
        <w:t>T</w:t>
      </w:r>
      <w:r w:rsidR="00C519A3" w:rsidRPr="00C519A3">
        <w:rPr>
          <w:lang w:val="en-GB"/>
        </w:rPr>
        <w:t>he CO concentration increases with the increase of CO</w:t>
      </w:r>
      <w:r w:rsidR="00C519A3" w:rsidRPr="00C519A3">
        <w:rPr>
          <w:vertAlign w:val="subscript"/>
          <w:lang w:val="en-GB"/>
        </w:rPr>
        <w:t>2</w:t>
      </w:r>
      <w:r w:rsidR="00C519A3" w:rsidRPr="00C519A3">
        <w:rPr>
          <w:lang w:val="en-GB"/>
        </w:rPr>
        <w:t xml:space="preserve"> volume fraction, reaching a maximum of 56,198 ppm at a CO</w:t>
      </w:r>
      <w:r w:rsidR="00C519A3" w:rsidRPr="00C519A3">
        <w:rPr>
          <w:vertAlign w:val="subscript"/>
          <w:lang w:val="en-GB"/>
        </w:rPr>
        <w:t>2</w:t>
      </w:r>
      <w:r w:rsidR="00C519A3" w:rsidRPr="00C519A3">
        <w:rPr>
          <w:lang w:val="en-GB"/>
        </w:rPr>
        <w:t xml:space="preserve"> volume fraction of 100%. In the mixed N</w:t>
      </w:r>
      <w:r w:rsidR="00C519A3" w:rsidRPr="00C519A3">
        <w:rPr>
          <w:vertAlign w:val="subscript"/>
          <w:lang w:val="en-GB"/>
        </w:rPr>
        <w:t>2</w:t>
      </w:r>
      <w:r w:rsidR="00F139C9">
        <w:rPr>
          <w:lang w:val="en-GB"/>
        </w:rPr>
        <w:t>/</w:t>
      </w:r>
      <w:r w:rsidR="00C519A3" w:rsidRPr="00C519A3">
        <w:rPr>
          <w:lang w:val="en-GB"/>
        </w:rPr>
        <w:t>CO</w:t>
      </w:r>
      <w:r w:rsidR="00C519A3" w:rsidRPr="00C519A3">
        <w:rPr>
          <w:vertAlign w:val="subscript"/>
          <w:lang w:val="en-GB"/>
        </w:rPr>
        <w:t>2</w:t>
      </w:r>
      <w:r w:rsidR="00C519A3" w:rsidRPr="00C519A3">
        <w:rPr>
          <w:lang w:val="en-GB"/>
        </w:rPr>
        <w:t xml:space="preserve"> discharge, the concentration of NO</w:t>
      </w:r>
      <w:r w:rsidR="00C519A3" w:rsidRPr="00C519A3">
        <w:rPr>
          <w:vertAlign w:val="subscript"/>
          <w:lang w:val="en-GB"/>
        </w:rPr>
        <w:t>2</w:t>
      </w:r>
      <w:r w:rsidR="00C519A3" w:rsidRPr="00C519A3">
        <w:rPr>
          <w:lang w:val="en-GB"/>
        </w:rPr>
        <w:t xml:space="preserve"> in the products is nearly at the detection limit and thus is negligible. The concentration of NO first increases and then decreases as the CO</w:t>
      </w:r>
      <w:r w:rsidR="00C519A3" w:rsidRPr="00C519A3">
        <w:rPr>
          <w:vertAlign w:val="subscript"/>
          <w:lang w:val="en-GB"/>
        </w:rPr>
        <w:t>2</w:t>
      </w:r>
      <w:r w:rsidR="00C519A3" w:rsidRPr="00C519A3">
        <w:rPr>
          <w:lang w:val="en-GB"/>
        </w:rPr>
        <w:t xml:space="preserve"> volume fraction rises, peaking at 2,968 ppm when the CO</w:t>
      </w:r>
      <w:r w:rsidR="00C519A3" w:rsidRPr="00C519A3">
        <w:rPr>
          <w:vertAlign w:val="subscript"/>
          <w:lang w:val="en-GB"/>
        </w:rPr>
        <w:t>2</w:t>
      </w:r>
      <w:r w:rsidR="00C519A3" w:rsidRPr="00C519A3">
        <w:rPr>
          <w:lang w:val="en-GB"/>
        </w:rPr>
        <w:t xml:space="preserve"> volume fraction is 54.5%.</w:t>
      </w:r>
      <w:r w:rsidR="00563179">
        <w:rPr>
          <w:lang w:val="en-GB"/>
        </w:rPr>
        <w:t xml:space="preserve"> </w:t>
      </w:r>
      <w:r w:rsidRPr="00C519A3">
        <w:rPr>
          <w:lang w:val="en-GB"/>
        </w:rPr>
        <w:t>Fig.</w:t>
      </w:r>
      <w:r w:rsidR="00C519A3" w:rsidRPr="00C519A3">
        <w:rPr>
          <w:lang w:val="en-GB"/>
        </w:rPr>
        <w:t xml:space="preserve"> 4(b) shows the energy cost for NF and CO</w:t>
      </w:r>
      <w:r w:rsidR="00C519A3" w:rsidRPr="00C519A3">
        <w:rPr>
          <w:vertAlign w:val="subscript"/>
          <w:lang w:val="en-GB"/>
        </w:rPr>
        <w:t>2</w:t>
      </w:r>
      <w:r w:rsidR="00C519A3" w:rsidRPr="00C519A3">
        <w:rPr>
          <w:lang w:val="en-GB"/>
        </w:rPr>
        <w:t xml:space="preserve"> decomposition into CO. Following the concentration trend, NF energy cost is lowest at 11.24 MJ/mol when the CO</w:t>
      </w:r>
      <w:r w:rsidR="00C519A3" w:rsidRPr="00C519A3">
        <w:rPr>
          <w:vertAlign w:val="subscript"/>
          <w:lang w:val="en-GB"/>
        </w:rPr>
        <w:t>2</w:t>
      </w:r>
      <w:r w:rsidR="00C519A3" w:rsidRPr="00C519A3">
        <w:rPr>
          <w:lang w:val="en-GB"/>
        </w:rPr>
        <w:t xml:space="preserve"> volume fraction is 54.5%. For CO</w:t>
      </w:r>
      <w:r w:rsidR="00C519A3" w:rsidRPr="00C519A3">
        <w:rPr>
          <w:vertAlign w:val="subscript"/>
          <w:lang w:val="en-GB"/>
        </w:rPr>
        <w:t>2</w:t>
      </w:r>
      <w:r w:rsidR="00C519A3" w:rsidRPr="00C519A3">
        <w:rPr>
          <w:lang w:val="en-GB"/>
        </w:rPr>
        <w:t xml:space="preserve"> decomposition, the energy cost reaches a minimum of 0.61 MJ/mol at a CO</w:t>
      </w:r>
      <w:r w:rsidR="00C519A3" w:rsidRPr="00C519A3">
        <w:rPr>
          <w:vertAlign w:val="subscript"/>
          <w:lang w:val="en-GB"/>
        </w:rPr>
        <w:t>2</w:t>
      </w:r>
      <w:r w:rsidR="00C519A3" w:rsidRPr="00C519A3">
        <w:rPr>
          <w:lang w:val="en-GB"/>
        </w:rPr>
        <w:t xml:space="preserve"> volume fraction of 100%.</w:t>
      </w:r>
      <w:r w:rsidR="00563179">
        <w:rPr>
          <w:lang w:val="en-GB"/>
        </w:rPr>
        <w:t xml:space="preserve"> </w:t>
      </w:r>
      <w:r w:rsidR="00C519A3" w:rsidRPr="00C519A3">
        <w:rPr>
          <w:lang w:val="en-GB"/>
        </w:rPr>
        <w:t>As shown in Fig. 4(c), The energy efficiency of CO</w:t>
      </w:r>
      <w:r w:rsidR="00C519A3" w:rsidRPr="00C519A3">
        <w:rPr>
          <w:vertAlign w:val="subscript"/>
          <w:lang w:val="en-GB"/>
        </w:rPr>
        <w:t>2</w:t>
      </w:r>
      <w:r w:rsidR="00C519A3" w:rsidRPr="00C519A3">
        <w:rPr>
          <w:lang w:val="en-GB"/>
        </w:rPr>
        <w:t xml:space="preserve"> decomposition also gradually rises with increasing CO</w:t>
      </w:r>
      <w:r w:rsidR="00C519A3" w:rsidRPr="00C519A3">
        <w:rPr>
          <w:vertAlign w:val="subscript"/>
          <w:lang w:val="en-GB"/>
        </w:rPr>
        <w:t>2</w:t>
      </w:r>
      <w:r w:rsidR="00C519A3" w:rsidRPr="00C519A3">
        <w:rPr>
          <w:lang w:val="en-GB"/>
        </w:rPr>
        <w:t xml:space="preserve"> volume fraction, reaching a maximum of 46.7%.</w:t>
      </w:r>
      <w:r w:rsidR="00563179">
        <w:rPr>
          <w:lang w:val="en-GB"/>
        </w:rPr>
        <w:t xml:space="preserve"> </w:t>
      </w:r>
      <w:r w:rsidR="00C519A3" w:rsidRPr="00C519A3">
        <w:rPr>
          <w:lang w:val="en-GB"/>
        </w:rPr>
        <w:t>Finally, Fig. 4(d) demonstrates that the absolute CO</w:t>
      </w:r>
      <w:r w:rsidR="00C519A3" w:rsidRPr="00C519A3">
        <w:rPr>
          <w:vertAlign w:val="subscript"/>
          <w:lang w:val="en-GB"/>
        </w:rPr>
        <w:t>2</w:t>
      </w:r>
      <w:r w:rsidR="00C519A3" w:rsidRPr="00C519A3">
        <w:rPr>
          <w:lang w:val="en-GB"/>
        </w:rPr>
        <w:t xml:space="preserve"> conversion rate remains almost constant at around 5%, </w:t>
      </w:r>
      <w:r w:rsidR="00C519A3" w:rsidRPr="00C519A3">
        <w:rPr>
          <w:lang w:val="en-GB"/>
        </w:rPr>
        <w:lastRenderedPageBreak/>
        <w:t>regardless of CO</w:t>
      </w:r>
      <w:r w:rsidR="00C519A3" w:rsidRPr="00C519A3">
        <w:rPr>
          <w:vertAlign w:val="subscript"/>
          <w:lang w:val="en-GB"/>
        </w:rPr>
        <w:t>2</w:t>
      </w:r>
      <w:r w:rsidR="00C519A3" w:rsidRPr="00C519A3">
        <w:rPr>
          <w:lang w:val="en-GB"/>
        </w:rPr>
        <w:t xml:space="preserve"> volume fraction.</w:t>
      </w:r>
    </w:p>
    <w:p w14:paraId="53FAA493" w14:textId="3A8ED2EC" w:rsidR="00C519A3" w:rsidRPr="00C519A3" w:rsidRDefault="00C519A3" w:rsidP="006930E1">
      <w:pPr>
        <w:pStyle w:val="a3"/>
        <w:spacing w:line="357" w:lineRule="auto"/>
        <w:jc w:val="center"/>
        <w:rPr>
          <w:lang w:val="en-GB"/>
        </w:rPr>
      </w:pPr>
      <w:r w:rsidRPr="00C519A3">
        <w:rPr>
          <w:lang w:val="en-GB"/>
        </w:rPr>
        <w:drawing>
          <wp:inline distT="0" distB="0" distL="0" distR="0" wp14:anchorId="64AE62E7" wp14:editId="4427810E">
            <wp:extent cx="4781550" cy="2565400"/>
            <wp:effectExtent l="0" t="0" r="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81550" cy="2565400"/>
                    </a:xfrm>
                    <a:prstGeom prst="rect">
                      <a:avLst/>
                    </a:prstGeom>
                    <a:noFill/>
                    <a:ln>
                      <a:noFill/>
                    </a:ln>
                  </pic:spPr>
                </pic:pic>
              </a:graphicData>
            </a:graphic>
          </wp:inline>
        </w:drawing>
      </w:r>
    </w:p>
    <w:p w14:paraId="51887C82" w14:textId="77777777" w:rsidR="00C519A3" w:rsidRPr="00BB103B" w:rsidRDefault="00C519A3" w:rsidP="00BB103B">
      <w:pPr>
        <w:pStyle w:val="a3"/>
        <w:ind w:left="119" w:right="113" w:firstLine="0"/>
        <w:rPr>
          <w:sz w:val="22"/>
          <w:szCs w:val="22"/>
          <w:lang w:val="en-GB"/>
        </w:rPr>
      </w:pPr>
      <w:bookmarkStart w:id="1" w:name="_Hlk185945862"/>
      <w:r w:rsidRPr="00BB103B">
        <w:rPr>
          <w:sz w:val="22"/>
          <w:szCs w:val="22"/>
          <w:lang w:val="en-GB"/>
        </w:rPr>
        <w:t>Fig. 5. Results of the air and CO</w:t>
      </w:r>
      <w:r w:rsidRPr="00BB103B">
        <w:rPr>
          <w:sz w:val="22"/>
          <w:szCs w:val="22"/>
          <w:vertAlign w:val="subscript"/>
          <w:lang w:val="en-GB"/>
        </w:rPr>
        <w:t>2</w:t>
      </w:r>
      <w:r w:rsidRPr="00BB103B">
        <w:rPr>
          <w:sz w:val="22"/>
          <w:szCs w:val="22"/>
          <w:lang w:val="en-GB"/>
        </w:rPr>
        <w:t xml:space="preserve"> mixture discharge at various CO</w:t>
      </w:r>
      <w:r w:rsidRPr="00BB103B">
        <w:rPr>
          <w:sz w:val="22"/>
          <w:szCs w:val="22"/>
          <w:vertAlign w:val="subscript"/>
          <w:lang w:val="en-GB"/>
        </w:rPr>
        <w:t>2</w:t>
      </w:r>
      <w:r w:rsidRPr="00BB103B">
        <w:rPr>
          <w:sz w:val="22"/>
          <w:szCs w:val="22"/>
          <w:lang w:val="en-GB"/>
        </w:rPr>
        <w:t xml:space="preserve"> volume fractions: (a) concentrations of NO and NO</w:t>
      </w:r>
      <w:r w:rsidRPr="00BB103B">
        <w:rPr>
          <w:sz w:val="22"/>
          <w:szCs w:val="22"/>
          <w:vertAlign w:val="subscript"/>
          <w:lang w:val="en-GB"/>
        </w:rPr>
        <w:t>2</w:t>
      </w:r>
      <w:r w:rsidRPr="00BB103B">
        <w:rPr>
          <w:sz w:val="22"/>
          <w:szCs w:val="22"/>
          <w:lang w:val="en-GB"/>
        </w:rPr>
        <w:t>; (b) concentrations of NO</w:t>
      </w:r>
      <w:r w:rsidRPr="008174D9">
        <w:rPr>
          <w:sz w:val="22"/>
          <w:szCs w:val="22"/>
          <w:vertAlign w:val="subscript"/>
          <w:lang w:val="en-GB"/>
        </w:rPr>
        <w:t>x</w:t>
      </w:r>
      <w:r w:rsidRPr="00BB103B">
        <w:rPr>
          <w:sz w:val="22"/>
          <w:szCs w:val="22"/>
          <w:lang w:val="en-GB"/>
        </w:rPr>
        <w:t xml:space="preserve"> and CO; (c) energy cost for CO and NO</w:t>
      </w:r>
      <w:r w:rsidRPr="00BB103B">
        <w:rPr>
          <w:sz w:val="22"/>
          <w:szCs w:val="22"/>
          <w:vertAlign w:val="subscript"/>
          <w:lang w:val="en-GB"/>
        </w:rPr>
        <w:t>x</w:t>
      </w:r>
      <w:r w:rsidRPr="00BB103B">
        <w:rPr>
          <w:sz w:val="22"/>
          <w:szCs w:val="22"/>
          <w:lang w:val="en-GB"/>
        </w:rPr>
        <w:t>; (d) SEI and energy efficiency of CO</w:t>
      </w:r>
      <w:r w:rsidRPr="00BB103B">
        <w:rPr>
          <w:sz w:val="22"/>
          <w:szCs w:val="22"/>
          <w:vertAlign w:val="subscript"/>
          <w:lang w:val="en-GB"/>
        </w:rPr>
        <w:t>2</w:t>
      </w:r>
      <w:r w:rsidRPr="00BB103B">
        <w:rPr>
          <w:sz w:val="22"/>
          <w:szCs w:val="22"/>
          <w:lang w:val="en-GB"/>
        </w:rPr>
        <w:t xml:space="preserve"> conversion; (e) absolute conversion rate of CO</w:t>
      </w:r>
      <w:r w:rsidRPr="00BB103B">
        <w:rPr>
          <w:sz w:val="22"/>
          <w:szCs w:val="22"/>
          <w:vertAlign w:val="subscript"/>
          <w:lang w:val="en-GB"/>
        </w:rPr>
        <w:t>2</w:t>
      </w:r>
      <w:r w:rsidRPr="00BB103B">
        <w:rPr>
          <w:sz w:val="22"/>
          <w:szCs w:val="22"/>
          <w:lang w:val="en-GB"/>
        </w:rPr>
        <w:t>.</w:t>
      </w:r>
    </w:p>
    <w:bookmarkEnd w:id="1"/>
    <w:p w14:paraId="319F52DA" w14:textId="0FAB08D8" w:rsidR="00C519A3" w:rsidRPr="00C519A3" w:rsidRDefault="00C519A3" w:rsidP="00291A57">
      <w:pPr>
        <w:pStyle w:val="a3"/>
        <w:spacing w:line="357" w:lineRule="auto"/>
        <w:rPr>
          <w:lang w:val="en-GB"/>
        </w:rPr>
      </w:pPr>
      <w:r w:rsidRPr="00C519A3">
        <w:rPr>
          <w:lang w:val="en-GB"/>
        </w:rPr>
        <w:t xml:space="preserve">From </w:t>
      </w:r>
      <w:r w:rsidR="00823D7C" w:rsidRPr="00C519A3">
        <w:rPr>
          <w:lang w:val="en-GB"/>
        </w:rPr>
        <w:t>Fig.</w:t>
      </w:r>
      <w:r w:rsidRPr="00C519A3">
        <w:rPr>
          <w:lang w:val="en-GB"/>
        </w:rPr>
        <w:t xml:space="preserve"> 5(a) and </w:t>
      </w:r>
      <w:r w:rsidR="00823D7C" w:rsidRPr="00C519A3">
        <w:rPr>
          <w:lang w:val="en-GB"/>
        </w:rPr>
        <w:t>Fig.</w:t>
      </w:r>
      <w:r w:rsidR="00823D7C" w:rsidRPr="00C519A3">
        <w:rPr>
          <w:lang w:val="en-GB"/>
        </w:rPr>
        <w:t xml:space="preserve"> </w:t>
      </w:r>
      <w:r w:rsidRPr="00C519A3">
        <w:rPr>
          <w:lang w:val="en-GB"/>
        </w:rPr>
        <w:t>(b), the concentration of NO</w:t>
      </w:r>
      <w:r w:rsidRPr="00C519A3">
        <w:rPr>
          <w:vertAlign w:val="subscript"/>
          <w:lang w:val="en-GB"/>
        </w:rPr>
        <w:t>x</w:t>
      </w:r>
      <w:r w:rsidRPr="00C519A3">
        <w:rPr>
          <w:lang w:val="en-GB"/>
        </w:rPr>
        <w:t xml:space="preserve"> decreases as the CO</w:t>
      </w:r>
      <w:r w:rsidRPr="00C519A3">
        <w:rPr>
          <w:vertAlign w:val="subscript"/>
          <w:lang w:val="en-GB"/>
        </w:rPr>
        <w:t>2</w:t>
      </w:r>
      <w:r w:rsidRPr="00C519A3">
        <w:rPr>
          <w:lang w:val="en-GB"/>
        </w:rPr>
        <w:t xml:space="preserve"> volume fraction increases, peaking at 0% CO</w:t>
      </w:r>
      <w:r w:rsidRPr="00C519A3">
        <w:rPr>
          <w:vertAlign w:val="subscript"/>
          <w:lang w:val="en-GB"/>
        </w:rPr>
        <w:t>2</w:t>
      </w:r>
      <w:r w:rsidRPr="00C519A3">
        <w:rPr>
          <w:lang w:val="en-GB"/>
        </w:rPr>
        <w:t xml:space="preserve"> with a concentration of 12,103 ppm, approximately 4 times higher than the maximum observed in the N</w:t>
      </w:r>
      <w:r w:rsidRPr="00C519A3">
        <w:rPr>
          <w:vertAlign w:val="subscript"/>
          <w:lang w:val="en-GB"/>
        </w:rPr>
        <w:t>2</w:t>
      </w:r>
      <w:r w:rsidRPr="00C519A3">
        <w:rPr>
          <w:lang w:val="en-GB"/>
        </w:rPr>
        <w:t>/CO</w:t>
      </w:r>
      <w:r w:rsidRPr="00C519A3">
        <w:rPr>
          <w:vertAlign w:val="subscript"/>
          <w:lang w:val="en-GB"/>
        </w:rPr>
        <w:t>2</w:t>
      </w:r>
      <w:r w:rsidRPr="00C519A3">
        <w:rPr>
          <w:lang w:val="en-GB"/>
        </w:rPr>
        <w:t xml:space="preserve"> mixture. Notably, the concentration of NO</w:t>
      </w:r>
      <w:r w:rsidRPr="00C519A3">
        <w:rPr>
          <w:vertAlign w:val="subscript"/>
          <w:lang w:val="en-GB"/>
        </w:rPr>
        <w:t>2</w:t>
      </w:r>
      <w:r w:rsidRPr="00C519A3">
        <w:rPr>
          <w:lang w:val="en-GB"/>
        </w:rPr>
        <w:t xml:space="preserve"> is quite low in the N</w:t>
      </w:r>
      <w:r w:rsidRPr="00C519A3">
        <w:rPr>
          <w:vertAlign w:val="subscript"/>
          <w:lang w:val="en-GB"/>
        </w:rPr>
        <w:t>2</w:t>
      </w:r>
      <w:r w:rsidRPr="00C519A3">
        <w:rPr>
          <w:lang w:val="en-GB"/>
        </w:rPr>
        <w:t>/CO</w:t>
      </w:r>
      <w:r w:rsidRPr="00C519A3">
        <w:rPr>
          <w:vertAlign w:val="subscript"/>
          <w:lang w:val="en-GB"/>
        </w:rPr>
        <w:t>2</w:t>
      </w:r>
      <w:r w:rsidRPr="00C519A3">
        <w:rPr>
          <w:lang w:val="en-GB"/>
        </w:rPr>
        <w:t xml:space="preserve"> mixture discharge, whereas a higher concentration of NO</w:t>
      </w:r>
      <w:r w:rsidRPr="00C519A3">
        <w:rPr>
          <w:vertAlign w:val="subscript"/>
          <w:lang w:val="en-GB"/>
        </w:rPr>
        <w:t>2</w:t>
      </w:r>
      <w:r w:rsidRPr="00C519A3">
        <w:rPr>
          <w:lang w:val="en-GB"/>
        </w:rPr>
        <w:t xml:space="preserve"> is detected in the air/CO</w:t>
      </w:r>
      <w:r w:rsidRPr="00C519A3">
        <w:rPr>
          <w:vertAlign w:val="subscript"/>
          <w:lang w:val="en-GB"/>
        </w:rPr>
        <w:t>2</w:t>
      </w:r>
      <w:r w:rsidRPr="00C519A3">
        <w:rPr>
          <w:lang w:val="en-GB"/>
        </w:rPr>
        <w:t xml:space="preserve"> mixture discharge, as shown in </w:t>
      </w:r>
      <w:r w:rsidR="00823D7C" w:rsidRPr="00C519A3">
        <w:rPr>
          <w:lang w:val="en-GB"/>
        </w:rPr>
        <w:t>Fig.</w:t>
      </w:r>
      <w:r w:rsidRPr="00C519A3">
        <w:rPr>
          <w:lang w:val="en-GB"/>
        </w:rPr>
        <w:t xml:space="preserve"> 5(a).</w:t>
      </w:r>
      <w:r w:rsidR="00291A57">
        <w:rPr>
          <w:lang w:val="en-GB"/>
        </w:rPr>
        <w:t xml:space="preserve"> </w:t>
      </w:r>
      <w:r w:rsidR="00823D7C" w:rsidRPr="00C519A3">
        <w:rPr>
          <w:lang w:val="en-GB"/>
        </w:rPr>
        <w:t>Fig.</w:t>
      </w:r>
      <w:r w:rsidRPr="00C519A3">
        <w:rPr>
          <w:lang w:val="en-GB"/>
        </w:rPr>
        <w:t xml:space="preserve"> 5(c) illustrates the energy cost for the air/CO</w:t>
      </w:r>
      <w:r w:rsidRPr="00C519A3">
        <w:rPr>
          <w:vertAlign w:val="subscript"/>
          <w:lang w:val="en-GB"/>
        </w:rPr>
        <w:t>2</w:t>
      </w:r>
      <w:r w:rsidRPr="00C519A3">
        <w:rPr>
          <w:lang w:val="en-GB"/>
        </w:rPr>
        <w:t xml:space="preserve"> mixture discharge. Following the same trend as the concentrations, the energy cost for NF is lowest at 0% CO</w:t>
      </w:r>
      <w:r w:rsidRPr="00C519A3">
        <w:rPr>
          <w:vertAlign w:val="subscript"/>
          <w:lang w:val="en-GB"/>
        </w:rPr>
        <w:t>2</w:t>
      </w:r>
      <w:r w:rsidRPr="00C519A3">
        <w:rPr>
          <w:lang w:val="en-GB"/>
        </w:rPr>
        <w:t>, at 2.59 MJ/mol, representing a 77.0% reduction compared to best value of the N</w:t>
      </w:r>
      <w:r w:rsidRPr="00C519A3">
        <w:rPr>
          <w:vertAlign w:val="subscript"/>
          <w:lang w:val="en-GB"/>
        </w:rPr>
        <w:t>2</w:t>
      </w:r>
      <w:r w:rsidRPr="00C519A3">
        <w:rPr>
          <w:lang w:val="en-GB"/>
        </w:rPr>
        <w:t>/CO</w:t>
      </w:r>
      <w:r w:rsidRPr="00C519A3">
        <w:rPr>
          <w:vertAlign w:val="subscript"/>
          <w:lang w:val="en-GB"/>
        </w:rPr>
        <w:t>2</w:t>
      </w:r>
      <w:r w:rsidRPr="00C519A3">
        <w:rPr>
          <w:lang w:val="en-GB"/>
        </w:rPr>
        <w:t xml:space="preserve"> mixture. The energy cost for CO</w:t>
      </w:r>
      <w:r w:rsidRPr="00C519A3">
        <w:rPr>
          <w:vertAlign w:val="subscript"/>
          <w:lang w:val="en-GB"/>
        </w:rPr>
        <w:t>2</w:t>
      </w:r>
      <w:r w:rsidRPr="00C519A3">
        <w:rPr>
          <w:lang w:val="en-GB"/>
        </w:rPr>
        <w:t xml:space="preserve"> decomposition is minimized at 100% CO</w:t>
      </w:r>
      <w:r w:rsidRPr="00C519A3">
        <w:rPr>
          <w:vertAlign w:val="subscript"/>
          <w:lang w:val="en-GB"/>
        </w:rPr>
        <w:t>2</w:t>
      </w:r>
      <w:r w:rsidRPr="00C519A3">
        <w:rPr>
          <w:lang w:val="en-GB"/>
        </w:rPr>
        <w:t>, at 0.61 MJ/mol.</w:t>
      </w:r>
      <w:r w:rsidR="00291A57">
        <w:rPr>
          <w:lang w:val="en-GB"/>
        </w:rPr>
        <w:t xml:space="preserve"> </w:t>
      </w:r>
      <w:r w:rsidRPr="00C519A3">
        <w:rPr>
          <w:lang w:val="en-GB"/>
        </w:rPr>
        <w:t>According to Fig. 5(d), the energy efficiency of CO</w:t>
      </w:r>
      <w:r w:rsidRPr="00C519A3">
        <w:rPr>
          <w:vertAlign w:val="subscript"/>
          <w:lang w:val="en-GB"/>
        </w:rPr>
        <w:t>2</w:t>
      </w:r>
      <w:r w:rsidRPr="00C519A3">
        <w:rPr>
          <w:lang w:val="en-GB"/>
        </w:rPr>
        <w:t xml:space="preserve"> decomposition gradually increases with the CO</w:t>
      </w:r>
      <w:r w:rsidRPr="00C519A3">
        <w:rPr>
          <w:vertAlign w:val="subscript"/>
          <w:lang w:val="en-GB"/>
        </w:rPr>
        <w:t>2</w:t>
      </w:r>
      <w:r w:rsidRPr="00C519A3">
        <w:rPr>
          <w:lang w:val="en-GB"/>
        </w:rPr>
        <w:t xml:space="preserve"> volume fraction, reaching a maximum of 46.7% in pure CO</w:t>
      </w:r>
      <w:r w:rsidRPr="00C519A3">
        <w:rPr>
          <w:vertAlign w:val="subscript"/>
          <w:lang w:val="en-GB"/>
        </w:rPr>
        <w:t>2</w:t>
      </w:r>
      <w:r w:rsidRPr="00C519A3">
        <w:rPr>
          <w:lang w:val="en-GB"/>
        </w:rPr>
        <w:t>.</w:t>
      </w:r>
      <w:r w:rsidR="00291A57">
        <w:rPr>
          <w:lang w:val="en-GB"/>
        </w:rPr>
        <w:t xml:space="preserve"> </w:t>
      </w:r>
      <w:r w:rsidRPr="00C519A3">
        <w:rPr>
          <w:lang w:val="en-GB"/>
        </w:rPr>
        <w:t>Unlike the N</w:t>
      </w:r>
      <w:r w:rsidRPr="00C519A3">
        <w:rPr>
          <w:vertAlign w:val="subscript"/>
          <w:lang w:val="en-GB"/>
        </w:rPr>
        <w:t>2</w:t>
      </w:r>
      <w:r w:rsidRPr="00C519A3">
        <w:rPr>
          <w:lang w:val="en-GB"/>
        </w:rPr>
        <w:t>/CO</w:t>
      </w:r>
      <w:r w:rsidRPr="00C519A3">
        <w:rPr>
          <w:vertAlign w:val="subscript"/>
          <w:lang w:val="en-GB"/>
        </w:rPr>
        <w:t>2</w:t>
      </w:r>
      <w:r w:rsidRPr="00C519A3">
        <w:rPr>
          <w:lang w:val="en-GB"/>
        </w:rPr>
        <w:t xml:space="preserve"> mixture discharge, the absolute conversion rate of CO</w:t>
      </w:r>
      <w:r w:rsidRPr="00C519A3">
        <w:rPr>
          <w:vertAlign w:val="subscript"/>
          <w:lang w:val="en-GB"/>
        </w:rPr>
        <w:t>2</w:t>
      </w:r>
      <w:r w:rsidRPr="00C519A3">
        <w:rPr>
          <w:lang w:val="en-GB"/>
        </w:rPr>
        <w:t xml:space="preserve"> increases with the CO</w:t>
      </w:r>
      <w:r w:rsidRPr="00C519A3">
        <w:rPr>
          <w:vertAlign w:val="subscript"/>
          <w:lang w:val="en-GB"/>
        </w:rPr>
        <w:t>2</w:t>
      </w:r>
      <w:r w:rsidRPr="00C519A3">
        <w:rPr>
          <w:lang w:val="en-GB"/>
        </w:rPr>
        <w:t xml:space="preserve"> volume fraction for the air/CO</w:t>
      </w:r>
      <w:r w:rsidRPr="00C519A3">
        <w:rPr>
          <w:vertAlign w:val="subscript"/>
          <w:lang w:val="en-GB"/>
        </w:rPr>
        <w:t>2</w:t>
      </w:r>
      <w:r w:rsidRPr="00C519A3">
        <w:rPr>
          <w:lang w:val="en-GB"/>
        </w:rPr>
        <w:t xml:space="preserve"> mixture discharge, rising from 2.4% to 5.6%.</w:t>
      </w:r>
    </w:p>
    <w:p w14:paraId="483A351C" w14:textId="6F1A1A07" w:rsidR="00C519A3" w:rsidRPr="00C519A3" w:rsidRDefault="00C519A3" w:rsidP="006930E1">
      <w:pPr>
        <w:pStyle w:val="a3"/>
        <w:spacing w:line="357" w:lineRule="auto"/>
        <w:ind w:firstLine="0"/>
        <w:rPr>
          <w:b/>
          <w:bCs/>
          <w:lang w:val="en-GB"/>
        </w:rPr>
      </w:pPr>
      <w:r w:rsidRPr="00C519A3">
        <w:rPr>
          <w:b/>
          <w:bCs/>
          <w:lang w:val="en-GB"/>
        </w:rPr>
        <w:t>3.3 Analysis of Plasma Gas Temperature and Reaction Pathways of Gas</w:t>
      </w:r>
      <w:r w:rsidR="0008479F">
        <w:rPr>
          <w:b/>
          <w:bCs/>
          <w:lang w:val="en-GB"/>
        </w:rPr>
        <w:t>/</w:t>
      </w:r>
      <w:r w:rsidRPr="00C519A3">
        <w:rPr>
          <w:b/>
          <w:bCs/>
          <w:lang w:val="en-GB"/>
        </w:rPr>
        <w:t>Phase Products</w:t>
      </w:r>
    </w:p>
    <w:p w14:paraId="7C144AAF" w14:textId="27FA820F" w:rsidR="00C519A3" w:rsidRPr="00C519A3" w:rsidRDefault="00C519A3" w:rsidP="00C519A3">
      <w:pPr>
        <w:pStyle w:val="a3"/>
        <w:spacing w:line="357" w:lineRule="auto"/>
        <w:rPr>
          <w:lang w:val="en-GB"/>
        </w:rPr>
      </w:pPr>
      <w:r w:rsidRPr="00C519A3">
        <w:rPr>
          <w:lang w:val="en-GB"/>
        </w:rPr>
        <w:t>The discharge channel remains stable because the aerodynamic drag force and the magnetic</w:t>
      </w:r>
      <w:r w:rsidR="0008479F">
        <w:rPr>
          <w:lang w:val="en-GB"/>
        </w:rPr>
        <w:t>/</w:t>
      </w:r>
      <w:r w:rsidRPr="00C519A3">
        <w:rPr>
          <w:lang w:val="en-GB"/>
        </w:rPr>
        <w:t>field</w:t>
      </w:r>
      <w:r w:rsidR="0008479F">
        <w:rPr>
          <w:lang w:val="en-GB"/>
        </w:rPr>
        <w:t>/</w:t>
      </w:r>
      <w:r w:rsidRPr="00C519A3">
        <w:rPr>
          <w:lang w:val="en-GB"/>
        </w:rPr>
        <w:t>induced Lorentz force have comparable magnitudes but opposite directions. The average electric field is estimated from the discharge voltage and plasma channel length measured from discharge images, with the cathode drop voltage corrected using typical atmospheric</w:t>
      </w:r>
      <w:r w:rsidR="0008479F">
        <w:rPr>
          <w:lang w:val="en-GB"/>
        </w:rPr>
        <w:t>/</w:t>
      </w:r>
      <w:r w:rsidRPr="00C519A3">
        <w:rPr>
          <w:lang w:val="en-GB"/>
        </w:rPr>
        <w:t>pressure values of 208 V for N</w:t>
      </w:r>
      <w:r w:rsidRPr="00C519A3">
        <w:rPr>
          <w:vertAlign w:val="subscript"/>
          <w:lang w:val="en-GB"/>
        </w:rPr>
        <w:t>2</w:t>
      </w:r>
      <w:r w:rsidRPr="00C519A3">
        <w:rPr>
          <w:lang w:val="en-GB"/>
        </w:rPr>
        <w:t>, 370 V for air, and 460 V for CO</w:t>
      </w:r>
      <w:r w:rsidRPr="00C519A3">
        <w:rPr>
          <w:vertAlign w:val="subscript"/>
          <w:lang w:val="en-GB"/>
        </w:rPr>
        <w:t>2</w:t>
      </w:r>
      <w:r w:rsidRPr="00C519A3">
        <w:rPr>
          <w:lang w:val="en-GB"/>
        </w:rPr>
        <w:t>. As shown in Figure 6(a), the average electric field is almost independent of gas composition and remains approximately 1.36 kV/cm.</w:t>
      </w:r>
    </w:p>
    <w:p w14:paraId="318221C6" w14:textId="6DB3F101" w:rsidR="00C519A3" w:rsidRPr="00C519A3" w:rsidRDefault="00C519A3" w:rsidP="006930E1">
      <w:pPr>
        <w:pStyle w:val="a3"/>
        <w:spacing w:line="357" w:lineRule="auto"/>
        <w:jc w:val="center"/>
        <w:rPr>
          <w:lang w:val="en-GB"/>
        </w:rPr>
      </w:pPr>
      <w:r w:rsidRPr="00C519A3">
        <w:rPr>
          <w:lang w:val="en-GB"/>
        </w:rPr>
        <w:lastRenderedPageBreak/>
        <w:drawing>
          <wp:inline distT="0" distB="0" distL="0" distR="0" wp14:anchorId="111533A1" wp14:editId="7728A7A2">
            <wp:extent cx="3956050" cy="140970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56050" cy="1409700"/>
                    </a:xfrm>
                    <a:prstGeom prst="rect">
                      <a:avLst/>
                    </a:prstGeom>
                    <a:noFill/>
                    <a:ln>
                      <a:noFill/>
                    </a:ln>
                  </pic:spPr>
                </pic:pic>
              </a:graphicData>
            </a:graphic>
          </wp:inline>
        </w:drawing>
      </w:r>
    </w:p>
    <w:p w14:paraId="685668B1" w14:textId="77777777" w:rsidR="00C519A3" w:rsidRPr="00E949B7" w:rsidRDefault="00C519A3" w:rsidP="00E949B7">
      <w:pPr>
        <w:pStyle w:val="a3"/>
        <w:ind w:left="119" w:right="113" w:firstLine="0"/>
        <w:rPr>
          <w:sz w:val="22"/>
          <w:szCs w:val="22"/>
          <w:lang w:val="en-GB"/>
        </w:rPr>
      </w:pPr>
      <w:r w:rsidRPr="00E949B7">
        <w:rPr>
          <w:sz w:val="22"/>
          <w:szCs w:val="22"/>
          <w:lang w:val="en-GB"/>
        </w:rPr>
        <w:t>Fig. 6. (a) Average electric field of the plasma for different CO</w:t>
      </w:r>
      <w:r w:rsidRPr="00E949B7">
        <w:rPr>
          <w:sz w:val="22"/>
          <w:szCs w:val="22"/>
          <w:vertAlign w:val="subscript"/>
          <w:lang w:val="en-GB"/>
        </w:rPr>
        <w:t>2</w:t>
      </w:r>
      <w:r w:rsidRPr="00E949B7">
        <w:rPr>
          <w:sz w:val="22"/>
          <w:szCs w:val="22"/>
          <w:lang w:val="en-GB"/>
        </w:rPr>
        <w:t xml:space="preserve"> fraction; (b) measured and simulated spectra at N</w:t>
      </w:r>
      <w:r w:rsidRPr="00E949B7">
        <w:rPr>
          <w:sz w:val="22"/>
          <w:szCs w:val="22"/>
          <w:vertAlign w:val="subscript"/>
          <w:lang w:val="en-GB"/>
        </w:rPr>
        <w:t>2</w:t>
      </w:r>
      <w:r w:rsidRPr="00E949B7">
        <w:rPr>
          <w:sz w:val="22"/>
          <w:szCs w:val="22"/>
          <w:lang w:val="en-GB"/>
        </w:rPr>
        <w:t>(C</w:t>
      </w:r>
      <w:r w:rsidRPr="00E949B7">
        <w:rPr>
          <w:sz w:val="22"/>
          <w:szCs w:val="22"/>
          <w:vertAlign w:val="superscript"/>
          <w:lang w:val="en-GB"/>
        </w:rPr>
        <w:t>3</w:t>
      </w:r>
      <w:r w:rsidRPr="00E949B7">
        <w:rPr>
          <w:sz w:val="22"/>
          <w:szCs w:val="22"/>
          <w:lang w:val="en-GB"/>
        </w:rPr>
        <w:t>Π</w:t>
      </w:r>
      <w:r w:rsidRPr="00E949B7">
        <w:rPr>
          <w:sz w:val="22"/>
          <w:szCs w:val="22"/>
          <w:vertAlign w:val="subscript"/>
          <w:lang w:val="en-GB"/>
        </w:rPr>
        <w:t>u</w:t>
      </w:r>
      <w:r w:rsidRPr="00E949B7">
        <w:rPr>
          <w:sz w:val="22"/>
          <w:szCs w:val="22"/>
          <w:lang w:val="en-GB"/>
        </w:rPr>
        <w:t xml:space="preserve"> − B</w:t>
      </w:r>
      <w:r w:rsidRPr="00E949B7">
        <w:rPr>
          <w:sz w:val="22"/>
          <w:szCs w:val="22"/>
          <w:vertAlign w:val="superscript"/>
          <w:lang w:val="en-GB"/>
        </w:rPr>
        <w:t>3</w:t>
      </w:r>
      <w:r w:rsidRPr="00E949B7">
        <w:rPr>
          <w:sz w:val="22"/>
          <w:szCs w:val="22"/>
          <w:lang w:val="en-GB"/>
        </w:rPr>
        <w:t>Π</w:t>
      </w:r>
      <w:r w:rsidRPr="00E949B7">
        <w:rPr>
          <w:sz w:val="22"/>
          <w:szCs w:val="22"/>
          <w:vertAlign w:val="subscript"/>
          <w:lang w:val="en-GB"/>
        </w:rPr>
        <w:t>g</w:t>
      </w:r>
      <w:r w:rsidRPr="00E949B7">
        <w:rPr>
          <w:sz w:val="22"/>
          <w:szCs w:val="22"/>
          <w:lang w:val="en-GB"/>
        </w:rPr>
        <w:t>) (</w:t>
      </w:r>
      <w:proofErr w:type="spellStart"/>
      <w:r w:rsidRPr="00E949B7">
        <w:rPr>
          <w:sz w:val="22"/>
          <w:szCs w:val="22"/>
          <w:lang w:val="en-GB"/>
        </w:rPr>
        <w:t>Δv</w:t>
      </w:r>
      <w:proofErr w:type="spellEnd"/>
      <w:r w:rsidRPr="00E949B7">
        <w:rPr>
          <w:sz w:val="22"/>
          <w:szCs w:val="22"/>
          <w:lang w:val="en-GB"/>
        </w:rPr>
        <w:t xml:space="preserve"> = −2) transition.</w:t>
      </w:r>
    </w:p>
    <w:p w14:paraId="6865B602" w14:textId="7E816BBF" w:rsidR="00246AC9" w:rsidRPr="00C519A3" w:rsidRDefault="00C519A3" w:rsidP="00121053">
      <w:pPr>
        <w:pStyle w:val="a3"/>
        <w:spacing w:line="357" w:lineRule="auto"/>
        <w:rPr>
          <w:lang w:val="en-GB"/>
        </w:rPr>
      </w:pPr>
      <w:r w:rsidRPr="00C519A3">
        <w:rPr>
          <w:lang w:val="en-GB"/>
        </w:rPr>
        <w:t>For air</w:t>
      </w:r>
      <w:r w:rsidR="0008479F">
        <w:rPr>
          <w:lang w:val="en-GB"/>
        </w:rPr>
        <w:t>/</w:t>
      </w:r>
      <w:r w:rsidRPr="00C519A3">
        <w:rPr>
          <w:lang w:val="en-GB"/>
        </w:rPr>
        <w:t>CO</w:t>
      </w:r>
      <w:r w:rsidRPr="00C519A3">
        <w:rPr>
          <w:vertAlign w:val="subscript"/>
          <w:lang w:val="en-GB"/>
        </w:rPr>
        <w:t>2</w:t>
      </w:r>
      <w:r w:rsidRPr="00C519A3">
        <w:rPr>
          <w:lang w:val="en-GB"/>
        </w:rPr>
        <w:t xml:space="preserve"> discharge, spectral fitting of the N</w:t>
      </w:r>
      <w:r w:rsidRPr="00C519A3">
        <w:rPr>
          <w:vertAlign w:val="subscript"/>
          <w:lang w:val="en-GB"/>
        </w:rPr>
        <w:t>2</w:t>
      </w:r>
      <w:r w:rsidRPr="00C519A3">
        <w:rPr>
          <w:lang w:val="en-GB"/>
        </w:rPr>
        <w:t>(C–B) band gives a gas temperature of 2680 ± 80 K. Combined with the average electric field, the reduced electric field is estimated to be approximately 49.6 Td. Under this condition, more than 90% of the electron energy is transferred to vibrational excitation of N</w:t>
      </w:r>
      <w:r w:rsidRPr="00C519A3">
        <w:rPr>
          <w:vertAlign w:val="subscript"/>
          <w:lang w:val="en-GB"/>
        </w:rPr>
        <w:t>2</w:t>
      </w:r>
      <w:r w:rsidRPr="00C519A3">
        <w:rPr>
          <w:lang w:val="en-GB"/>
        </w:rPr>
        <w:t xml:space="preserve"> and CO</w:t>
      </w:r>
      <w:r w:rsidRPr="00C519A3">
        <w:rPr>
          <w:vertAlign w:val="subscript"/>
          <w:lang w:val="en-GB"/>
        </w:rPr>
        <w:t>2</w:t>
      </w:r>
      <w:r w:rsidRPr="00C519A3">
        <w:rPr>
          <w:lang w:val="en-GB"/>
        </w:rPr>
        <w:t>.</w:t>
      </w:r>
      <w:r w:rsidR="00F139C9">
        <w:rPr>
          <w:lang w:val="en-GB"/>
        </w:rPr>
        <w:t xml:space="preserve"> </w:t>
      </w:r>
      <w:r w:rsidRPr="00C519A3">
        <w:rPr>
          <w:lang w:val="en-GB"/>
        </w:rPr>
        <w:t xml:space="preserve">Therefore, NO is primarily generated through the vibrationally excited </w:t>
      </w:r>
      <w:proofErr w:type="spellStart"/>
      <w:r w:rsidRPr="00C519A3">
        <w:rPr>
          <w:lang w:val="en-GB"/>
        </w:rPr>
        <w:t>Zeldovich</w:t>
      </w:r>
      <w:proofErr w:type="spellEnd"/>
      <w:r w:rsidRPr="00C519A3">
        <w:rPr>
          <w:lang w:val="en-GB"/>
        </w:rPr>
        <w:t xml:space="preserve"> mechanism, as shown in reactions (</w:t>
      </w:r>
      <w:r w:rsidR="00D34CA9">
        <w:rPr>
          <w:lang w:val="en-GB"/>
        </w:rPr>
        <w:t>1</w:t>
      </w:r>
      <w:r w:rsidRPr="00C519A3">
        <w:rPr>
          <w:lang w:val="en-GB"/>
        </w:rPr>
        <w:t>) and (</w:t>
      </w:r>
      <w:r w:rsidR="00D34CA9">
        <w:rPr>
          <w:lang w:val="en-GB"/>
        </w:rPr>
        <w:t>2</w:t>
      </w:r>
      <w:r w:rsidRPr="00C519A3">
        <w:rPr>
          <w:lang w:val="en-GB"/>
        </w:rPr>
        <w:t>).</w:t>
      </w:r>
      <w:r w:rsidR="00246AC9" w:rsidRPr="00246AC9">
        <w:rPr>
          <w:lang w:val="en-GB"/>
        </w:rPr>
        <w:t xml:space="preserve"> </w:t>
      </w:r>
      <w:r w:rsidR="00246AC9" w:rsidRPr="00C519A3">
        <w:rPr>
          <w:lang w:val="en-GB"/>
        </w:rPr>
        <w:t>At this reduced field strength, CO is produced by the dissociation of vibrationally excited CO</w:t>
      </w:r>
      <w:r w:rsidR="00246AC9" w:rsidRPr="00C519A3">
        <w:rPr>
          <w:vertAlign w:val="subscript"/>
          <w:lang w:val="en-GB"/>
        </w:rPr>
        <w:t>2</w:t>
      </w:r>
      <w:r w:rsidR="00246AC9">
        <w:rPr>
          <w:lang w:val="en-GB"/>
        </w:rPr>
        <w:t xml:space="preserve">, </w:t>
      </w:r>
      <w:r w:rsidR="00246AC9" w:rsidRPr="00C519A3">
        <w:rPr>
          <w:lang w:val="en-GB"/>
        </w:rPr>
        <w:t>as represented by reactions (</w:t>
      </w:r>
      <w:r w:rsidR="00D34CA9">
        <w:rPr>
          <w:lang w:val="en-GB"/>
        </w:rPr>
        <w:t>3</w:t>
      </w:r>
      <w:r w:rsidR="00246AC9" w:rsidRPr="00C519A3">
        <w:rPr>
          <w:lang w:val="en-GB"/>
        </w:rPr>
        <w:t>) and (</w:t>
      </w:r>
      <w:r w:rsidR="00D34CA9">
        <w:rPr>
          <w:lang w:val="en-GB"/>
        </w:rPr>
        <w:t>4</w:t>
      </w:r>
      <w:r w:rsidR="00246AC9" w:rsidRPr="00C519A3">
        <w:rPr>
          <w:lang w:val="en-GB"/>
        </w:rPr>
        <w:t>).</w:t>
      </w:r>
    </w:p>
    <w:p w14:paraId="4E0D901E" w14:textId="12176F32" w:rsidR="00C519A3" w:rsidRPr="00C519A3" w:rsidRDefault="00C519A3" w:rsidP="00C519A3">
      <w:pPr>
        <w:pStyle w:val="a3"/>
        <w:spacing w:line="357" w:lineRule="auto"/>
        <w:jc w:val="center"/>
        <w:rPr>
          <w:lang w:val="en-GB"/>
        </w:rPr>
      </w:pPr>
      <m:oMath>
        <m:sSub>
          <m:sSubPr>
            <m:ctrlPr>
              <w:rPr>
                <w:rFonts w:ascii="Cambria Math" w:hAnsi="Cambria Math"/>
                <w:lang w:val="en-GB"/>
              </w:rPr>
            </m:ctrlPr>
          </m:sSubPr>
          <m:e>
            <m:r>
              <m:rPr>
                <m:sty m:val="p"/>
              </m:rPr>
              <w:rPr>
                <w:rFonts w:ascii="Cambria Math" w:hAnsi="Cambria Math"/>
                <w:lang w:val="en-GB"/>
              </w:rPr>
              <m:t>e+N</m:t>
            </m:r>
          </m:e>
          <m:sub>
            <m:r>
              <m:rPr>
                <m:sty m:val="p"/>
              </m:rPr>
              <w:rPr>
                <w:rFonts w:ascii="Cambria Math" w:hAnsi="Cambria Math"/>
                <w:lang w:val="en-GB"/>
              </w:rPr>
              <m:t>2</m:t>
            </m:r>
          </m:sub>
        </m:sSub>
        <m:r>
          <m:rPr>
            <m:sty m:val="p"/>
          </m:rPr>
          <w:rPr>
            <w:rFonts w:ascii="Cambria Math" w:hAnsi="Cambria Math"/>
            <w:lang w:val="en-GB"/>
          </w:rPr>
          <m:t>→e+</m:t>
        </m:r>
        <m:sSub>
          <m:sSubPr>
            <m:ctrlPr>
              <w:rPr>
                <w:rFonts w:ascii="Cambria Math" w:hAnsi="Cambria Math"/>
                <w:lang w:val="en-GB"/>
              </w:rPr>
            </m:ctrlPr>
          </m:sSubPr>
          <m:e>
            <m:r>
              <m:rPr>
                <m:sty m:val="p"/>
              </m:rPr>
              <w:rPr>
                <w:rFonts w:ascii="Cambria Math" w:hAnsi="Cambria Math"/>
                <w:lang w:val="en-GB"/>
              </w:rPr>
              <m:t>N</m:t>
            </m:r>
          </m:e>
          <m:sub>
            <m:r>
              <m:rPr>
                <m:sty m:val="p"/>
              </m:rPr>
              <w:rPr>
                <w:rFonts w:ascii="Cambria Math" w:hAnsi="Cambria Math"/>
                <w:lang w:val="en-GB"/>
              </w:rPr>
              <m:t>2</m:t>
            </m:r>
          </m:sub>
        </m:sSub>
        <m:d>
          <m:dPr>
            <m:ctrlPr>
              <w:rPr>
                <w:rFonts w:ascii="Cambria Math" w:hAnsi="Cambria Math"/>
                <w:lang w:val="en-GB"/>
              </w:rPr>
            </m:ctrlPr>
          </m:dPr>
          <m:e>
            <m:r>
              <w:rPr>
                <w:rFonts w:ascii="Cambria Math" w:hAnsi="Cambria Math"/>
                <w:lang w:val="en-GB"/>
              </w:rPr>
              <m:t>v</m:t>
            </m:r>
          </m:e>
        </m:d>
      </m:oMath>
      <w:r w:rsidRPr="00C519A3">
        <w:rPr>
          <w:lang w:val="en-GB"/>
        </w:rPr>
        <w:t xml:space="preserve">    </w:t>
      </w:r>
      <w:r w:rsidR="0031674F">
        <w:rPr>
          <w:lang w:val="en-GB"/>
        </w:rPr>
        <w:t xml:space="preserve"> </w:t>
      </w:r>
      <w:r w:rsidRPr="00C519A3">
        <w:rPr>
          <w:lang w:val="en-GB"/>
        </w:rPr>
        <w:t>(</w:t>
      </w:r>
      <w:r w:rsidR="00D34CA9">
        <w:rPr>
          <w:lang w:val="en-GB"/>
        </w:rPr>
        <w:t>1</w:t>
      </w:r>
      <w:r w:rsidRPr="00C519A3">
        <w:rPr>
          <w:lang w:val="en-GB"/>
        </w:rPr>
        <w:t>)</w:t>
      </w:r>
    </w:p>
    <w:p w14:paraId="795EBE04" w14:textId="3570042C" w:rsidR="00C519A3" w:rsidRPr="00C519A3" w:rsidRDefault="00C519A3" w:rsidP="00C519A3">
      <w:pPr>
        <w:pStyle w:val="a3"/>
        <w:spacing w:line="357" w:lineRule="auto"/>
        <w:jc w:val="center"/>
        <w:rPr>
          <w:lang w:val="en-GB"/>
        </w:rPr>
      </w:pPr>
      <m:oMath>
        <m:sSub>
          <m:sSubPr>
            <m:ctrlPr>
              <w:rPr>
                <w:rFonts w:ascii="Cambria Math" w:hAnsi="Cambria Math"/>
                <w:lang w:val="en-GB"/>
              </w:rPr>
            </m:ctrlPr>
          </m:sSubPr>
          <m:e>
            <m:r>
              <m:rPr>
                <m:sty m:val="p"/>
              </m:rPr>
              <w:rPr>
                <w:rFonts w:ascii="Cambria Math" w:hAnsi="Cambria Math"/>
                <w:lang w:val="en-GB"/>
              </w:rPr>
              <m:t>N</m:t>
            </m:r>
          </m:e>
          <m:sub>
            <m:r>
              <m:rPr>
                <m:sty m:val="p"/>
              </m:rPr>
              <w:rPr>
                <w:rFonts w:ascii="Cambria Math" w:hAnsi="Cambria Math"/>
                <w:lang w:val="en-GB"/>
              </w:rPr>
              <m:t>2</m:t>
            </m:r>
          </m:sub>
        </m:sSub>
        <m:d>
          <m:dPr>
            <m:ctrlPr>
              <w:rPr>
                <w:rFonts w:ascii="Cambria Math" w:hAnsi="Cambria Math"/>
                <w:lang w:val="en-GB"/>
              </w:rPr>
            </m:ctrlPr>
          </m:dPr>
          <m:e>
            <m:r>
              <w:rPr>
                <w:rFonts w:ascii="Cambria Math" w:hAnsi="Cambria Math"/>
                <w:lang w:val="en-GB"/>
              </w:rPr>
              <m:t>v</m:t>
            </m:r>
          </m:e>
        </m:d>
        <m:r>
          <m:rPr>
            <m:sty m:val="p"/>
          </m:rPr>
          <w:rPr>
            <w:rFonts w:ascii="Cambria Math" w:hAnsi="Cambria Math"/>
            <w:lang w:val="en-GB"/>
          </w:rPr>
          <m:t>+O→NO+N</m:t>
        </m:r>
      </m:oMath>
      <w:r w:rsidRPr="00C519A3">
        <w:rPr>
          <w:lang w:val="en-GB"/>
        </w:rPr>
        <w:t xml:space="preserve">   (</w:t>
      </w:r>
      <w:r w:rsidR="00D34CA9">
        <w:rPr>
          <w:lang w:val="en-GB"/>
        </w:rPr>
        <w:t>2</w:t>
      </w:r>
      <w:r w:rsidRPr="00C519A3">
        <w:rPr>
          <w:lang w:val="en-GB"/>
        </w:rPr>
        <w:t>)</w:t>
      </w:r>
    </w:p>
    <w:p w14:paraId="6FDB0B5D" w14:textId="43429771" w:rsidR="00C519A3" w:rsidRPr="00C519A3" w:rsidRDefault="00C519A3" w:rsidP="00C519A3">
      <w:pPr>
        <w:pStyle w:val="a3"/>
        <w:spacing w:line="357" w:lineRule="auto"/>
        <w:jc w:val="center"/>
        <w:rPr>
          <w:iCs/>
          <w:lang w:val="en-GB"/>
        </w:rPr>
      </w:pPr>
      <m:oMath>
        <m:r>
          <m:rPr>
            <m:sty m:val="p"/>
          </m:rPr>
          <w:rPr>
            <w:rFonts w:ascii="Cambria Math" w:hAnsi="Cambria Math"/>
            <w:lang w:val="en-GB"/>
          </w:rPr>
          <m:t>e+</m:t>
        </m:r>
        <m:sSub>
          <m:sSubPr>
            <m:ctrlPr>
              <w:rPr>
                <w:rFonts w:ascii="Cambria Math" w:hAnsi="Cambria Math"/>
                <w:lang w:val="en-GB"/>
              </w:rPr>
            </m:ctrlPr>
          </m:sSubPr>
          <m:e>
            <m:r>
              <m:rPr>
                <m:sty m:val="p"/>
              </m:rPr>
              <w:rPr>
                <w:rFonts w:ascii="Cambria Math" w:hAnsi="Cambria Math"/>
                <w:lang w:val="en-GB"/>
              </w:rPr>
              <m:t>CO</m:t>
            </m:r>
          </m:e>
          <m:sub>
            <m:r>
              <m:rPr>
                <m:sty m:val="p"/>
              </m:rPr>
              <w:rPr>
                <w:rFonts w:ascii="Cambria Math" w:hAnsi="Cambria Math"/>
                <w:lang w:val="en-GB"/>
              </w:rPr>
              <m:t>2</m:t>
            </m:r>
          </m:sub>
        </m:sSub>
        <m:r>
          <m:rPr>
            <m:sty m:val="p"/>
          </m:rPr>
          <w:rPr>
            <w:rFonts w:ascii="Cambria Math" w:hAnsi="Cambria Math"/>
            <w:lang w:val="en-GB"/>
          </w:rPr>
          <m:t>→e+</m:t>
        </m:r>
        <m:sSub>
          <m:sSubPr>
            <m:ctrlPr>
              <w:rPr>
                <w:rFonts w:ascii="Cambria Math" w:hAnsi="Cambria Math"/>
                <w:lang w:val="en-GB"/>
              </w:rPr>
            </m:ctrlPr>
          </m:sSubPr>
          <m:e>
            <m:r>
              <m:rPr>
                <m:sty m:val="p"/>
              </m:rPr>
              <w:rPr>
                <w:rFonts w:ascii="Cambria Math" w:hAnsi="Cambria Math"/>
                <w:lang w:val="en-GB"/>
              </w:rPr>
              <m:t>CO</m:t>
            </m:r>
          </m:e>
          <m:sub>
            <m:r>
              <m:rPr>
                <m:sty m:val="p"/>
              </m:rPr>
              <w:rPr>
                <w:rFonts w:ascii="Cambria Math" w:hAnsi="Cambria Math"/>
                <w:lang w:val="en-GB"/>
              </w:rPr>
              <m:t>2</m:t>
            </m:r>
          </m:sub>
        </m:sSub>
        <m:d>
          <m:dPr>
            <m:ctrlPr>
              <w:rPr>
                <w:rFonts w:ascii="Cambria Math" w:hAnsi="Cambria Math"/>
                <w:lang w:val="en-GB"/>
              </w:rPr>
            </m:ctrlPr>
          </m:dPr>
          <m:e>
            <m:r>
              <w:rPr>
                <w:rFonts w:ascii="Cambria Math" w:hAnsi="Cambria Math"/>
                <w:lang w:val="en-GB"/>
              </w:rPr>
              <m:t>v</m:t>
            </m:r>
          </m:e>
        </m:d>
      </m:oMath>
      <w:r w:rsidRPr="00C519A3">
        <w:rPr>
          <w:lang w:val="en-GB"/>
        </w:rPr>
        <w:t xml:space="preserve">  (</w:t>
      </w:r>
      <w:r w:rsidR="00D34CA9">
        <w:rPr>
          <w:lang w:val="en-GB"/>
        </w:rPr>
        <w:t>3</w:t>
      </w:r>
      <w:r w:rsidRPr="00C519A3">
        <w:rPr>
          <w:lang w:val="en-GB"/>
        </w:rPr>
        <w:t>)</w:t>
      </w:r>
    </w:p>
    <w:p w14:paraId="414FE89E" w14:textId="064B5BE8" w:rsidR="00C519A3" w:rsidRPr="00C519A3" w:rsidRDefault="00C519A3" w:rsidP="00C519A3">
      <w:pPr>
        <w:pStyle w:val="a3"/>
        <w:spacing w:line="357" w:lineRule="auto"/>
        <w:jc w:val="center"/>
        <w:rPr>
          <w:b/>
          <w:lang w:val="en-GB"/>
        </w:rPr>
      </w:pPr>
      <m:oMath>
        <m:sSub>
          <m:sSubPr>
            <m:ctrlPr>
              <w:rPr>
                <w:rFonts w:ascii="Cambria Math" w:hAnsi="Cambria Math"/>
                <w:lang w:val="en-GB"/>
              </w:rPr>
            </m:ctrlPr>
          </m:sSubPr>
          <m:e>
            <m:r>
              <m:rPr>
                <m:sty m:val="p"/>
              </m:rPr>
              <w:rPr>
                <w:rFonts w:ascii="Cambria Math" w:hAnsi="Cambria Math"/>
                <w:lang w:val="en-GB"/>
              </w:rPr>
              <m:t>CO</m:t>
            </m:r>
          </m:e>
          <m:sub>
            <m:r>
              <m:rPr>
                <m:sty m:val="p"/>
              </m:rPr>
              <w:rPr>
                <w:rFonts w:ascii="Cambria Math" w:hAnsi="Cambria Math"/>
                <w:lang w:val="en-GB"/>
              </w:rPr>
              <m:t>2</m:t>
            </m:r>
          </m:sub>
        </m:sSub>
        <m:d>
          <m:dPr>
            <m:ctrlPr>
              <w:rPr>
                <w:rFonts w:ascii="Cambria Math" w:hAnsi="Cambria Math"/>
                <w:lang w:val="en-GB"/>
              </w:rPr>
            </m:ctrlPr>
          </m:dPr>
          <m:e>
            <m:r>
              <w:rPr>
                <w:rFonts w:ascii="Cambria Math" w:hAnsi="Cambria Math"/>
                <w:lang w:val="en-GB"/>
              </w:rPr>
              <m:t>v</m:t>
            </m:r>
          </m:e>
        </m:d>
        <m:r>
          <m:rPr>
            <m:sty m:val="p"/>
          </m:rPr>
          <w:rPr>
            <w:rFonts w:ascii="Cambria Math" w:hAnsi="Cambria Math"/>
            <w:lang w:val="en-GB"/>
          </w:rPr>
          <m:t>→O+CO</m:t>
        </m:r>
      </m:oMath>
      <w:r w:rsidRPr="00C519A3">
        <w:rPr>
          <w:lang w:val="en-GB"/>
        </w:rPr>
        <w:t xml:space="preserve">       </w:t>
      </w:r>
      <w:r w:rsidR="0031674F">
        <w:rPr>
          <w:lang w:val="en-GB"/>
        </w:rPr>
        <w:t xml:space="preserve">   </w:t>
      </w:r>
      <w:r w:rsidRPr="00C519A3">
        <w:rPr>
          <w:lang w:val="en-GB"/>
        </w:rPr>
        <w:t>(</w:t>
      </w:r>
      <w:r w:rsidR="00D34CA9">
        <w:rPr>
          <w:lang w:val="en-GB"/>
        </w:rPr>
        <w:t>4</w:t>
      </w:r>
      <w:r w:rsidRPr="00C519A3">
        <w:rPr>
          <w:lang w:val="en-GB"/>
        </w:rPr>
        <w:t>)</w:t>
      </w:r>
    </w:p>
    <w:p w14:paraId="319BDCBA" w14:textId="1FE6EB98" w:rsidR="00C519A3" w:rsidRPr="00C519A3" w:rsidRDefault="00C519A3" w:rsidP="00C519A3">
      <w:pPr>
        <w:pStyle w:val="a3"/>
        <w:numPr>
          <w:ilvl w:val="0"/>
          <w:numId w:val="2"/>
        </w:numPr>
        <w:spacing w:line="357" w:lineRule="auto"/>
        <w:rPr>
          <w:b/>
          <w:lang w:val="en-GB"/>
        </w:rPr>
      </w:pPr>
      <w:r w:rsidRPr="00C519A3">
        <w:rPr>
          <w:b/>
          <w:lang w:val="en-GB"/>
        </w:rPr>
        <w:t>Conclusion</w:t>
      </w:r>
    </w:p>
    <w:p w14:paraId="09DB9565" w14:textId="50EB77B3" w:rsidR="00E847A1" w:rsidRPr="005859FF" w:rsidRDefault="00C519A3" w:rsidP="00632AC1">
      <w:pPr>
        <w:pStyle w:val="a3"/>
        <w:spacing w:line="357" w:lineRule="auto"/>
        <w:rPr>
          <w:lang w:val="en-GB"/>
        </w:rPr>
      </w:pPr>
      <w:r w:rsidRPr="00C519A3">
        <w:rPr>
          <w:lang w:val="en-GB"/>
        </w:rPr>
        <w:t>A MSGD device was applied to simultaneous NF and CO</w:t>
      </w:r>
      <w:r w:rsidRPr="00C519A3">
        <w:rPr>
          <w:vertAlign w:val="subscript"/>
          <w:lang w:val="en-GB"/>
        </w:rPr>
        <w:t>2</w:t>
      </w:r>
      <w:r w:rsidRPr="00C519A3">
        <w:rPr>
          <w:lang w:val="en-GB"/>
        </w:rPr>
        <w:t xml:space="preserve"> conversion at atmospheric pressure. CO production increased with CO</w:t>
      </w:r>
      <w:r w:rsidRPr="00C519A3">
        <w:rPr>
          <w:vertAlign w:val="subscript"/>
          <w:lang w:val="en-GB"/>
        </w:rPr>
        <w:t>2</w:t>
      </w:r>
      <w:r w:rsidRPr="00C519A3">
        <w:rPr>
          <w:lang w:val="en-GB"/>
        </w:rPr>
        <w:t xml:space="preserve"> fraction, reaching 56,198 ppm in pure CO</w:t>
      </w:r>
      <w:r w:rsidRPr="00C519A3">
        <w:rPr>
          <w:vertAlign w:val="subscript"/>
          <w:lang w:val="en-GB"/>
        </w:rPr>
        <w:t>2</w:t>
      </w:r>
      <w:r w:rsidRPr="00C519A3">
        <w:rPr>
          <w:lang w:val="en-GB"/>
        </w:rPr>
        <w:t>, with a minimum CO₂ conversion energy cost of 0.61 MJ/mol and a maximum energy efficiency of 46.7%. For NF, the lowest energy cost was 11.24 MJ/mol in N</w:t>
      </w:r>
      <w:r w:rsidRPr="00C519A3">
        <w:rPr>
          <w:vertAlign w:val="subscript"/>
          <w:lang w:val="en-GB"/>
        </w:rPr>
        <w:t>2</w:t>
      </w:r>
      <w:r w:rsidR="0008479F">
        <w:rPr>
          <w:lang w:val="en-GB"/>
        </w:rPr>
        <w:t>/</w:t>
      </w:r>
      <w:r w:rsidRPr="00C519A3">
        <w:rPr>
          <w:lang w:val="en-GB"/>
        </w:rPr>
        <w:t>CO</w:t>
      </w:r>
      <w:r w:rsidRPr="00C519A3">
        <w:rPr>
          <w:vertAlign w:val="subscript"/>
          <w:lang w:val="en-GB"/>
        </w:rPr>
        <w:t>2</w:t>
      </w:r>
      <w:r w:rsidRPr="00C519A3">
        <w:rPr>
          <w:lang w:val="en-GB"/>
        </w:rPr>
        <w:t xml:space="preserve"> discharge and 2.59 MJ/mol in air discharge. Mechanism analysis indicates that CO is mainly produced through vibrationally assisted CO</w:t>
      </w:r>
      <w:r w:rsidRPr="00C519A3">
        <w:rPr>
          <w:vertAlign w:val="subscript"/>
          <w:lang w:val="en-GB"/>
        </w:rPr>
        <w:t>2</w:t>
      </w:r>
      <w:r w:rsidRPr="00C519A3">
        <w:rPr>
          <w:lang w:val="en-GB"/>
        </w:rPr>
        <w:t xml:space="preserve"> dissociation, while NO is primarily formed through the </w:t>
      </w:r>
      <w:proofErr w:type="spellStart"/>
      <w:r w:rsidRPr="00C519A3">
        <w:rPr>
          <w:lang w:val="en-GB"/>
        </w:rPr>
        <w:t>Zeldovich</w:t>
      </w:r>
      <w:proofErr w:type="spellEnd"/>
      <w:r w:rsidRPr="00C519A3">
        <w:rPr>
          <w:lang w:val="en-GB"/>
        </w:rPr>
        <w:t xml:space="preserve"> mechanism.</w:t>
      </w:r>
    </w:p>
    <w:p w14:paraId="43BF8A76" w14:textId="77777777" w:rsidR="000277F0" w:rsidRDefault="00332688">
      <w:pPr>
        <w:spacing w:before="119"/>
        <w:ind w:left="117"/>
        <w:rPr>
          <w:b/>
          <w:sz w:val="24"/>
        </w:rPr>
      </w:pPr>
      <w:r>
        <w:rPr>
          <w:b/>
          <w:sz w:val="24"/>
        </w:rPr>
        <w:t>References</w:t>
      </w:r>
    </w:p>
    <w:p w14:paraId="43BF8A77" w14:textId="72C473BD" w:rsidR="000277F0" w:rsidRDefault="00632AC1">
      <w:pPr>
        <w:pStyle w:val="a5"/>
        <w:numPr>
          <w:ilvl w:val="0"/>
          <w:numId w:val="1"/>
        </w:numPr>
        <w:tabs>
          <w:tab w:val="left" w:pos="567"/>
        </w:tabs>
        <w:spacing w:before="125"/>
        <w:ind w:hanging="351"/>
        <w:rPr>
          <w:sz w:val="20"/>
        </w:rPr>
      </w:pPr>
      <w:r w:rsidRPr="00632AC1">
        <w:rPr>
          <w:sz w:val="20"/>
        </w:rPr>
        <w:t xml:space="preserve">Li Z, </w:t>
      </w:r>
      <w:proofErr w:type="spellStart"/>
      <w:r w:rsidRPr="00632AC1">
        <w:rPr>
          <w:sz w:val="20"/>
        </w:rPr>
        <w:t>Nie</w:t>
      </w:r>
      <w:proofErr w:type="spellEnd"/>
      <w:r w:rsidRPr="00632AC1">
        <w:rPr>
          <w:sz w:val="20"/>
        </w:rPr>
        <w:t xml:space="preserve"> L, Liu D and Lu X 2022 An atmospheric pressure glow discharge in air stabilized by a magnetic field and its application on nitrogen fixation </w:t>
      </w:r>
      <w:r w:rsidRPr="00632AC1">
        <w:rPr>
          <w:i/>
          <w:iCs/>
          <w:sz w:val="20"/>
        </w:rPr>
        <w:t xml:space="preserve">Plasma Process. </w:t>
      </w:r>
      <w:proofErr w:type="spellStart"/>
      <w:r w:rsidRPr="00632AC1">
        <w:rPr>
          <w:i/>
          <w:iCs/>
          <w:sz w:val="20"/>
        </w:rPr>
        <w:t>Polym</w:t>
      </w:r>
      <w:proofErr w:type="spellEnd"/>
      <w:r w:rsidRPr="00632AC1">
        <w:rPr>
          <w:i/>
          <w:iCs/>
          <w:sz w:val="20"/>
        </w:rPr>
        <w:t>.</w:t>
      </w:r>
      <w:r w:rsidRPr="00632AC1">
        <w:rPr>
          <w:sz w:val="20"/>
        </w:rPr>
        <w:t xml:space="preserve"> </w:t>
      </w:r>
      <w:r w:rsidRPr="00632AC1">
        <w:rPr>
          <w:b/>
          <w:bCs/>
          <w:sz w:val="20"/>
        </w:rPr>
        <w:t>19</w:t>
      </w:r>
      <w:r w:rsidRPr="00632AC1">
        <w:rPr>
          <w:sz w:val="20"/>
        </w:rPr>
        <w:t xml:space="preserve"> 2200071</w:t>
      </w:r>
    </w:p>
    <w:p w14:paraId="43BF8A7A" w14:textId="132A5B24" w:rsidR="000277F0" w:rsidRPr="00DF1CA9" w:rsidRDefault="000277F0" w:rsidP="00DF1CA9">
      <w:pPr>
        <w:tabs>
          <w:tab w:val="left" w:pos="567"/>
        </w:tabs>
        <w:rPr>
          <w:sz w:val="20"/>
        </w:rPr>
      </w:pPr>
    </w:p>
    <w:sectPr w:rsidR="000277F0" w:rsidRPr="00DF1CA9">
      <w:type w:val="continuous"/>
      <w:pgSz w:w="11910" w:h="16840"/>
      <w:pgMar w:top="128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2E6A88"/>
    <w:multiLevelType w:val="hybridMultilevel"/>
    <w:tmpl w:val="85B85004"/>
    <w:lvl w:ilvl="0" w:tplc="1884E388">
      <w:start w:val="1"/>
      <w:numFmt w:val="decimal"/>
      <w:lvlText w:val="[%1]"/>
      <w:lvlJc w:val="left"/>
      <w:pPr>
        <w:ind w:left="566" w:hanging="350"/>
      </w:pPr>
      <w:rPr>
        <w:rFonts w:ascii="Times New Roman" w:eastAsia="Times New Roman" w:hAnsi="Times New Roman" w:cs="Times New Roman" w:hint="default"/>
        <w:w w:val="99"/>
        <w:sz w:val="20"/>
        <w:szCs w:val="20"/>
        <w:lang w:val="en-US" w:eastAsia="en-US" w:bidi="ar-SA"/>
      </w:rPr>
    </w:lvl>
    <w:lvl w:ilvl="1" w:tplc="76AE6A7E">
      <w:numFmt w:val="bullet"/>
      <w:lvlText w:val="•"/>
      <w:lvlJc w:val="left"/>
      <w:pPr>
        <w:ind w:left="1434" w:hanging="350"/>
      </w:pPr>
      <w:rPr>
        <w:rFonts w:hint="default"/>
        <w:lang w:val="en-US" w:eastAsia="en-US" w:bidi="ar-SA"/>
      </w:rPr>
    </w:lvl>
    <w:lvl w:ilvl="2" w:tplc="BAE208E6">
      <w:numFmt w:val="bullet"/>
      <w:lvlText w:val="•"/>
      <w:lvlJc w:val="left"/>
      <w:pPr>
        <w:ind w:left="2309" w:hanging="350"/>
      </w:pPr>
      <w:rPr>
        <w:rFonts w:hint="default"/>
        <w:lang w:val="en-US" w:eastAsia="en-US" w:bidi="ar-SA"/>
      </w:rPr>
    </w:lvl>
    <w:lvl w:ilvl="3" w:tplc="DD908636">
      <w:numFmt w:val="bullet"/>
      <w:lvlText w:val="•"/>
      <w:lvlJc w:val="left"/>
      <w:pPr>
        <w:ind w:left="3183" w:hanging="350"/>
      </w:pPr>
      <w:rPr>
        <w:rFonts w:hint="default"/>
        <w:lang w:val="en-US" w:eastAsia="en-US" w:bidi="ar-SA"/>
      </w:rPr>
    </w:lvl>
    <w:lvl w:ilvl="4" w:tplc="2954DCB8">
      <w:numFmt w:val="bullet"/>
      <w:lvlText w:val="•"/>
      <w:lvlJc w:val="left"/>
      <w:pPr>
        <w:ind w:left="4058" w:hanging="350"/>
      </w:pPr>
      <w:rPr>
        <w:rFonts w:hint="default"/>
        <w:lang w:val="en-US" w:eastAsia="en-US" w:bidi="ar-SA"/>
      </w:rPr>
    </w:lvl>
    <w:lvl w:ilvl="5" w:tplc="2A846878">
      <w:numFmt w:val="bullet"/>
      <w:lvlText w:val="•"/>
      <w:lvlJc w:val="left"/>
      <w:pPr>
        <w:ind w:left="4932" w:hanging="350"/>
      </w:pPr>
      <w:rPr>
        <w:rFonts w:hint="default"/>
        <w:lang w:val="en-US" w:eastAsia="en-US" w:bidi="ar-SA"/>
      </w:rPr>
    </w:lvl>
    <w:lvl w:ilvl="6" w:tplc="55CA8056">
      <w:numFmt w:val="bullet"/>
      <w:lvlText w:val="•"/>
      <w:lvlJc w:val="left"/>
      <w:pPr>
        <w:ind w:left="5807" w:hanging="350"/>
      </w:pPr>
      <w:rPr>
        <w:rFonts w:hint="default"/>
        <w:lang w:val="en-US" w:eastAsia="en-US" w:bidi="ar-SA"/>
      </w:rPr>
    </w:lvl>
    <w:lvl w:ilvl="7" w:tplc="DE4490BE">
      <w:numFmt w:val="bullet"/>
      <w:lvlText w:val="•"/>
      <w:lvlJc w:val="left"/>
      <w:pPr>
        <w:ind w:left="6681" w:hanging="350"/>
      </w:pPr>
      <w:rPr>
        <w:rFonts w:hint="default"/>
        <w:lang w:val="en-US" w:eastAsia="en-US" w:bidi="ar-SA"/>
      </w:rPr>
    </w:lvl>
    <w:lvl w:ilvl="8" w:tplc="3BAA5022">
      <w:numFmt w:val="bullet"/>
      <w:lvlText w:val="•"/>
      <w:lvlJc w:val="left"/>
      <w:pPr>
        <w:ind w:left="7556" w:hanging="350"/>
      </w:pPr>
      <w:rPr>
        <w:rFonts w:hint="default"/>
        <w:lang w:val="en-US" w:eastAsia="en-US" w:bidi="ar-SA"/>
      </w:rPr>
    </w:lvl>
  </w:abstractNum>
  <w:abstractNum w:abstractNumId="1" w15:restartNumberingAfterBreak="0">
    <w:nsid w:val="7C3E3BCE"/>
    <w:multiLevelType w:val="hybridMultilevel"/>
    <w:tmpl w:val="89A29010"/>
    <w:lvl w:ilvl="0" w:tplc="AD52BD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1"/>
    <w:lvlOverride w:ilvl="0"/>
    <w:lvlOverride w:ilvl="1"/>
    <w:lvlOverride w:ilvl="2"/>
    <w:lvlOverride w:ilvl="3"/>
    <w:lvlOverride w:ilvl="4"/>
    <w:lvlOverride w:ilvl="5"/>
    <w:lvlOverride w:ilvl="6"/>
    <w:lvlOverride w:ilvl="7"/>
    <w:lvlOverride w:ilvl="8"/>
  </w:num>
  <w:num w:numId="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bordersDoNotSurroundHeader/>
  <w:bordersDoNotSurroundFooter/>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7F0"/>
    <w:rsid w:val="00014CAF"/>
    <w:rsid w:val="000277F0"/>
    <w:rsid w:val="00034D7E"/>
    <w:rsid w:val="0005132C"/>
    <w:rsid w:val="00081C58"/>
    <w:rsid w:val="0008479F"/>
    <w:rsid w:val="000A5CC3"/>
    <w:rsid w:val="000D3F93"/>
    <w:rsid w:val="000E5019"/>
    <w:rsid w:val="000F701F"/>
    <w:rsid w:val="00106F46"/>
    <w:rsid w:val="00121053"/>
    <w:rsid w:val="001244E5"/>
    <w:rsid w:val="001524BB"/>
    <w:rsid w:val="00156440"/>
    <w:rsid w:val="00181582"/>
    <w:rsid w:val="00187ACC"/>
    <w:rsid w:val="001A7F1A"/>
    <w:rsid w:val="001B6E98"/>
    <w:rsid w:val="001D50CA"/>
    <w:rsid w:val="002268B6"/>
    <w:rsid w:val="00230A7B"/>
    <w:rsid w:val="00246AC9"/>
    <w:rsid w:val="00291A57"/>
    <w:rsid w:val="002A49E3"/>
    <w:rsid w:val="002C7E26"/>
    <w:rsid w:val="002D2D51"/>
    <w:rsid w:val="003023D8"/>
    <w:rsid w:val="0031674F"/>
    <w:rsid w:val="00332688"/>
    <w:rsid w:val="00363167"/>
    <w:rsid w:val="0037648E"/>
    <w:rsid w:val="003B0176"/>
    <w:rsid w:val="003F4B52"/>
    <w:rsid w:val="0044748E"/>
    <w:rsid w:val="004E48B0"/>
    <w:rsid w:val="004F593D"/>
    <w:rsid w:val="005235EC"/>
    <w:rsid w:val="00552946"/>
    <w:rsid w:val="00563179"/>
    <w:rsid w:val="005859FF"/>
    <w:rsid w:val="005B4F56"/>
    <w:rsid w:val="005C103B"/>
    <w:rsid w:val="00632AC1"/>
    <w:rsid w:val="00647B24"/>
    <w:rsid w:val="006508B3"/>
    <w:rsid w:val="006930E1"/>
    <w:rsid w:val="00705ADB"/>
    <w:rsid w:val="007273E3"/>
    <w:rsid w:val="00760FEE"/>
    <w:rsid w:val="00791DFD"/>
    <w:rsid w:val="00804A31"/>
    <w:rsid w:val="008058F2"/>
    <w:rsid w:val="008174D9"/>
    <w:rsid w:val="00823D7C"/>
    <w:rsid w:val="008B33A2"/>
    <w:rsid w:val="00913DA6"/>
    <w:rsid w:val="009409FC"/>
    <w:rsid w:val="00984D35"/>
    <w:rsid w:val="00986DEF"/>
    <w:rsid w:val="009F5CA1"/>
    <w:rsid w:val="00A0453C"/>
    <w:rsid w:val="00AB206A"/>
    <w:rsid w:val="00AD0385"/>
    <w:rsid w:val="00AF163A"/>
    <w:rsid w:val="00AF78F4"/>
    <w:rsid w:val="00B0292E"/>
    <w:rsid w:val="00B045F9"/>
    <w:rsid w:val="00B10E98"/>
    <w:rsid w:val="00B32E97"/>
    <w:rsid w:val="00B504FF"/>
    <w:rsid w:val="00B83ABA"/>
    <w:rsid w:val="00BB103B"/>
    <w:rsid w:val="00BC041C"/>
    <w:rsid w:val="00BC7BA0"/>
    <w:rsid w:val="00C31A94"/>
    <w:rsid w:val="00C454DD"/>
    <w:rsid w:val="00C519A3"/>
    <w:rsid w:val="00C94A50"/>
    <w:rsid w:val="00CA3666"/>
    <w:rsid w:val="00CD4C2D"/>
    <w:rsid w:val="00D036ED"/>
    <w:rsid w:val="00D23B30"/>
    <w:rsid w:val="00D33A35"/>
    <w:rsid w:val="00D34CA9"/>
    <w:rsid w:val="00D51A3C"/>
    <w:rsid w:val="00D96B7B"/>
    <w:rsid w:val="00DC758F"/>
    <w:rsid w:val="00DE54AE"/>
    <w:rsid w:val="00DF1CA9"/>
    <w:rsid w:val="00E26036"/>
    <w:rsid w:val="00E553AF"/>
    <w:rsid w:val="00E67C86"/>
    <w:rsid w:val="00E847A1"/>
    <w:rsid w:val="00E949B7"/>
    <w:rsid w:val="00E97322"/>
    <w:rsid w:val="00EE2E86"/>
    <w:rsid w:val="00F0121B"/>
    <w:rsid w:val="00F139C9"/>
    <w:rsid w:val="00F45B4C"/>
    <w:rsid w:val="00F55440"/>
    <w:rsid w:val="00F65F9D"/>
    <w:rsid w:val="00F84621"/>
    <w:rsid w:val="00FA6A5F"/>
    <w:rsid w:val="00FE0C39"/>
    <w:rsid w:val="00FE42EF"/>
    <w:rsid w:val="21599875"/>
    <w:rsid w:val="2779948A"/>
    <w:rsid w:val="3D4ADC2D"/>
    <w:rsid w:val="79B8C53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F8A70"/>
  <w15:docId w15:val="{0DC931DD-D9BF-447A-94CC-D4C492DA9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82"/>
      <w:ind w:left="117" w:right="115" w:firstLine="234"/>
      <w:jc w:val="both"/>
    </w:pPr>
    <w:rPr>
      <w:sz w:val="24"/>
      <w:szCs w:val="24"/>
    </w:rPr>
  </w:style>
  <w:style w:type="paragraph" w:styleId="a4">
    <w:name w:val="Title"/>
    <w:basedOn w:val="a"/>
    <w:uiPriority w:val="10"/>
    <w:qFormat/>
    <w:pPr>
      <w:spacing w:before="97"/>
      <w:ind w:left="271" w:right="271"/>
      <w:jc w:val="center"/>
    </w:pPr>
    <w:rPr>
      <w:b/>
      <w:bCs/>
      <w:sz w:val="28"/>
      <w:szCs w:val="28"/>
    </w:rPr>
  </w:style>
  <w:style w:type="paragraph" w:styleId="a5">
    <w:name w:val="List Paragraph"/>
    <w:basedOn w:val="a"/>
    <w:uiPriority w:val="34"/>
    <w:qFormat/>
    <w:pPr>
      <w:spacing w:before="112"/>
      <w:ind w:left="566" w:hanging="351"/>
    </w:pPr>
  </w:style>
  <w:style w:type="paragraph" w:customStyle="1" w:styleId="TableParagraph">
    <w:name w:val="Table Paragraph"/>
    <w:basedOn w:val="a"/>
    <w:uiPriority w:val="1"/>
    <w:qFormat/>
  </w:style>
  <w:style w:type="character" w:styleId="a6">
    <w:name w:val="Placeholder Text"/>
    <w:basedOn w:val="a0"/>
    <w:uiPriority w:val="99"/>
    <w:semiHidden/>
    <w:rsid w:val="002A49E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631757">
      <w:bodyDiv w:val="1"/>
      <w:marLeft w:val="0"/>
      <w:marRight w:val="0"/>
      <w:marTop w:val="0"/>
      <w:marBottom w:val="0"/>
      <w:divBdr>
        <w:top w:val="none" w:sz="0" w:space="0" w:color="auto"/>
        <w:left w:val="none" w:sz="0" w:space="0" w:color="auto"/>
        <w:bottom w:val="none" w:sz="0" w:space="0" w:color="auto"/>
        <w:right w:val="none" w:sz="0" w:space="0" w:color="auto"/>
      </w:divBdr>
    </w:div>
    <w:div w:id="1147938251">
      <w:bodyDiv w:val="1"/>
      <w:marLeft w:val="0"/>
      <w:marRight w:val="0"/>
      <w:marTop w:val="0"/>
      <w:marBottom w:val="0"/>
      <w:divBdr>
        <w:top w:val="none" w:sz="0" w:space="0" w:color="auto"/>
        <w:left w:val="none" w:sz="0" w:space="0" w:color="auto"/>
        <w:bottom w:val="none" w:sz="0" w:space="0" w:color="auto"/>
        <w:right w:val="none" w:sz="0" w:space="0" w:color="auto"/>
      </w:divBdr>
    </w:div>
    <w:div w:id="1663964437">
      <w:bodyDiv w:val="1"/>
      <w:marLeft w:val="0"/>
      <w:marRight w:val="0"/>
      <w:marTop w:val="0"/>
      <w:marBottom w:val="0"/>
      <w:divBdr>
        <w:top w:val="none" w:sz="0" w:space="0" w:color="auto"/>
        <w:left w:val="none" w:sz="0" w:space="0" w:color="auto"/>
        <w:bottom w:val="none" w:sz="0" w:space="0" w:color="auto"/>
        <w:right w:val="none" w:sz="0" w:space="0" w:color="auto"/>
      </w:divBdr>
    </w:div>
    <w:div w:id="17705401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0" Type="http://schemas.openxmlformats.org/officeDocument/2006/relationships/image" Target="media/image4.jpeg"/><Relationship Id="rId4" Type="http://schemas.openxmlformats.org/officeDocument/2006/relationships/styles" Target="style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02CDD6E686034D9B004F729A036078" ma:contentTypeVersion="14" ma:contentTypeDescription="Create a new document." ma:contentTypeScope="" ma:versionID="3d398bc4690103c03bb9c7296740d5be">
  <xsd:schema xmlns:xsd="http://www.w3.org/2001/XMLSchema" xmlns:xs="http://www.w3.org/2001/XMLSchema" xmlns:p="http://schemas.microsoft.com/office/2006/metadata/properties" xmlns:ns2="3ce1a633-8b0f-4f71-bdc2-1955b9f45c93" xmlns:ns3="0694f607-c9da-4e61-90d7-59bc4ffc1d08" targetNamespace="http://schemas.microsoft.com/office/2006/metadata/properties" ma:root="true" ma:fieldsID="3d9dd6f69027502eece29aa4b8b30915" ns2:_="" ns3:_="">
    <xsd:import namespace="3ce1a633-8b0f-4f71-bdc2-1955b9f45c93"/>
    <xsd:import namespace="0694f607-c9da-4e61-90d7-59bc4ffc1d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e1a633-8b0f-4f71-bdc2-1955b9f45c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7a82321-f9b7-40e5-b493-b165275bbc9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94f607-c9da-4e61-90d7-59bc4ffc1d0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60bfc25-7b0b-4e78-843a-bce7cfe42968}" ma:internalName="TaxCatchAll" ma:showField="CatchAllData" ma:web="0694f607-c9da-4e61-90d7-59bc4ffc1d0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8B4A4E-EEAF-4F44-A179-C5F0F2CA3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e1a633-8b0f-4f71-bdc2-1955b9f45c93"/>
    <ds:schemaRef ds:uri="0694f607-c9da-4e61-90d7-59bc4ffc1d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9540ED-63D7-48D3-9958-04666456B3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429</TotalTime>
  <Pages>5</Pages>
  <Words>1855</Words>
  <Characters>10574</Characters>
  <Application>Microsoft Office Word</Application>
  <DocSecurity>0</DocSecurity>
  <Lines>88</Lines>
  <Paragraphs>24</Paragraphs>
  <ScaleCrop>false</ScaleCrop>
  <Company/>
  <LinksUpToDate>false</LinksUpToDate>
  <CharactersWithSpaces>12405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McClements, Ken G</dc:creator>
  <cp:lastModifiedBy>liuyuexi</cp:lastModifiedBy>
  <cp:revision>29</cp:revision>
  <dcterms:created xsi:type="dcterms:W3CDTF">2026-06-18T08:24:00Z</dcterms:created>
  <dcterms:modified xsi:type="dcterms:W3CDTF">2026-06-19T11:34:00Z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2024-10-09T00:00:00Z</vt:filetime>
  </property>
  <property fmtid="{D5CDD505-2E9C-101B-9397-08002B2CF9AE}" pid="3" name="Creator">
    <vt:lpwstr>TeX</vt:lpwstr>
  </property>
  <property fmtid="{D5CDD505-2E9C-101B-9397-08002B2CF9AE}" pid="4" name="LastSaved">
    <vt:filetime>2024-10-15T00:00:00Z</vt:filetime>
  </property>
  <property fmtid="{D5CDD505-2E9C-101B-9397-08002B2CF9AE}" pid="5" name="MSIP_Label_22759de7-3255-46b5-8dfe-736652f9c6c1_Enabled">
    <vt:lpwstr>true</vt:lpwstr>
  </property>
  <property fmtid="{D5CDD505-2E9C-101B-9397-08002B2CF9AE}" pid="6" name="MSIP_Label_22759de7-3255-46b5-8dfe-736652f9c6c1_SetDate">
    <vt:lpwstr>2026-06-08T10:00:50Z</vt:lpwstr>
  </property>
  <property fmtid="{D5CDD505-2E9C-101B-9397-08002B2CF9AE}" pid="7" name="MSIP_Label_22759de7-3255-46b5-8dfe-736652f9c6c1_Method">
    <vt:lpwstr>Standard</vt:lpwstr>
  </property>
  <property fmtid="{D5CDD505-2E9C-101B-9397-08002B2CF9AE}" pid="8" name="MSIP_Label_22759de7-3255-46b5-8dfe-736652f9c6c1_Name">
    <vt:lpwstr>22759de7-3255-46b5-8dfe-736652f9c6c1</vt:lpwstr>
  </property>
  <property fmtid="{D5CDD505-2E9C-101B-9397-08002B2CF9AE}" pid="9" name="MSIP_Label_22759de7-3255-46b5-8dfe-736652f9c6c1_SiteId">
    <vt:lpwstr>c6ac664b-ae27-4d5d-b4e6-bb5717196fc7</vt:lpwstr>
  </property>
  <property fmtid="{D5CDD505-2E9C-101B-9397-08002B2CF9AE}" pid="10" name="MSIP_Label_22759de7-3255-46b5-8dfe-736652f9c6c1_ActionId">
    <vt:lpwstr>c9c3e40f-921a-4021-a82a-00b56212df99</vt:lpwstr>
  </property>
  <property fmtid="{D5CDD505-2E9C-101B-9397-08002B2CF9AE}" pid="11" name="MSIP_Label_22759de7-3255-46b5-8dfe-736652f9c6c1_ContentBits">
    <vt:lpwstr>0</vt:lpwstr>
  </property>
  <property fmtid="{D5CDD505-2E9C-101B-9397-08002B2CF9AE}" pid="12" name="MSIP_Label_22759de7-3255-46b5-8dfe-736652f9c6c1_Tag">
    <vt:lpwstr>10, 3, 0, 2</vt:lpwstr>
  </property>
</Properties>
</file>